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20" w:lineRule="exact"/>
        <w:jc w:val="both"/>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附件1</w:t>
      </w:r>
    </w:p>
    <w:p>
      <w:pPr>
        <w:pStyle w:val="4"/>
        <w:keepNext w:val="0"/>
        <w:keepLines w:val="0"/>
        <w:pageBreakBefore w:val="0"/>
        <w:kinsoku/>
        <w:wordWrap/>
        <w:overflowPunct/>
        <w:topLinePunct w:val="0"/>
        <w:autoSpaceDE/>
        <w:autoSpaceDN/>
        <w:bidi w:val="0"/>
        <w:snapToGrid/>
        <w:spacing w:before="0" w:beforeAutospacing="0" w:after="0" w:afterAutospacing="0" w:line="600" w:lineRule="exact"/>
        <w:ind w:left="0" w:leftChars="0" w:firstLine="0" w:firstLineChars="0"/>
        <w:jc w:val="center"/>
        <w:textAlignment w:val="auto"/>
        <w:rPr>
          <w:rFonts w:hint="default" w:ascii="Times New Roman" w:hAnsi="Times New Roman" w:eastAsia="方正小标宋_GBK" w:cs="Times New Roman"/>
          <w:b w:val="0"/>
          <w:bCs/>
          <w:color w:val="000000" w:themeColor="text1"/>
          <w:sz w:val="44"/>
          <w:szCs w:val="44"/>
          <w14:textFill>
            <w14:solidFill>
              <w14:schemeClr w14:val="tx1"/>
            </w14:solidFill>
          </w14:textFill>
        </w:rPr>
      </w:pPr>
      <w:r>
        <w:rPr>
          <w:rFonts w:hint="default" w:ascii="Times New Roman" w:hAnsi="Times New Roman" w:eastAsia="方正小标宋_GBK" w:cs="Times New Roman"/>
          <w:b w:val="0"/>
          <w:bCs/>
          <w:color w:val="000000" w:themeColor="text1"/>
          <w:sz w:val="44"/>
          <w:szCs w:val="44"/>
          <w14:textFill>
            <w14:solidFill>
              <w14:schemeClr w14:val="tx1"/>
            </w14:solidFill>
          </w14:textFill>
        </w:rPr>
        <w:t>20</w:t>
      </w:r>
      <w:r>
        <w:rPr>
          <w:rFonts w:hint="default" w:ascii="Times New Roman" w:hAnsi="Times New Roman" w:eastAsia="方正小标宋_GBK" w:cs="Times New Roman"/>
          <w:b w:val="0"/>
          <w:bCs/>
          <w:color w:val="000000" w:themeColor="text1"/>
          <w:sz w:val="44"/>
          <w:szCs w:val="44"/>
          <w:lang w:val="en-US" w:eastAsia="zh-CN"/>
          <w14:textFill>
            <w14:solidFill>
              <w14:schemeClr w14:val="tx1"/>
            </w14:solidFill>
          </w14:textFill>
        </w:rPr>
        <w:t>24</w:t>
      </w:r>
      <w:r>
        <w:rPr>
          <w:rFonts w:hint="default" w:ascii="Times New Roman" w:hAnsi="Times New Roman" w:eastAsia="方正小标宋_GBK" w:cs="Times New Roman"/>
          <w:b w:val="0"/>
          <w:bCs/>
          <w:color w:val="000000" w:themeColor="text1"/>
          <w:sz w:val="44"/>
          <w:szCs w:val="44"/>
          <w14:textFill>
            <w14:solidFill>
              <w14:schemeClr w14:val="tx1"/>
            </w14:solidFill>
          </w14:textFill>
        </w:rPr>
        <w:t>年度宿州市卫生系列副高级专业技术资格</w:t>
      </w:r>
    </w:p>
    <w:p>
      <w:pPr>
        <w:pStyle w:val="4"/>
        <w:keepNext w:val="0"/>
        <w:keepLines w:val="0"/>
        <w:pageBreakBefore w:val="0"/>
        <w:kinsoku/>
        <w:wordWrap/>
        <w:overflowPunct/>
        <w:topLinePunct w:val="0"/>
        <w:autoSpaceDE/>
        <w:autoSpaceDN/>
        <w:bidi w:val="0"/>
        <w:snapToGrid/>
        <w:spacing w:before="0" w:beforeAutospacing="0" w:after="0" w:afterAutospacing="0" w:line="600" w:lineRule="exact"/>
        <w:jc w:val="center"/>
        <w:textAlignment w:val="auto"/>
        <w:rPr>
          <w:rFonts w:hint="default" w:ascii="Times New Roman" w:hAnsi="Times New Roman" w:eastAsia="方正小标宋_GBK" w:cs="Times New Roman"/>
          <w:b w:val="0"/>
          <w:bCs/>
          <w:color w:val="000000" w:themeColor="text1"/>
          <w:sz w:val="44"/>
          <w:szCs w:val="44"/>
          <w14:textFill>
            <w14:solidFill>
              <w14:schemeClr w14:val="tx1"/>
            </w14:solidFill>
          </w14:textFill>
        </w:rPr>
      </w:pPr>
      <w:r>
        <w:rPr>
          <w:rFonts w:hint="default" w:ascii="Times New Roman" w:hAnsi="Times New Roman" w:eastAsia="方正小标宋_GBK" w:cs="Times New Roman"/>
          <w:b w:val="0"/>
          <w:bCs/>
          <w:color w:val="000000" w:themeColor="text1"/>
          <w:sz w:val="44"/>
          <w:szCs w:val="44"/>
          <w14:textFill>
            <w14:solidFill>
              <w14:schemeClr w14:val="tx1"/>
            </w14:solidFill>
          </w14:textFill>
        </w:rPr>
        <w:t>申报人员提交材料说明</w:t>
      </w:r>
    </w:p>
    <w:p>
      <w:pPr>
        <w:pStyle w:val="4"/>
        <w:keepNext w:val="0"/>
        <w:keepLines w:val="0"/>
        <w:pageBreakBefore w:val="0"/>
        <w:kinsoku/>
        <w:wordWrap/>
        <w:overflowPunct/>
        <w:topLinePunct w:val="0"/>
        <w:autoSpaceDE/>
        <w:autoSpaceDN/>
        <w:bidi w:val="0"/>
        <w:snapToGrid/>
        <w:spacing w:before="0" w:beforeAutospacing="0" w:after="0" w:afterAutospacing="0" w:line="600" w:lineRule="exact"/>
        <w:jc w:val="center"/>
        <w:textAlignment w:val="auto"/>
        <w:rPr>
          <w:rFonts w:hint="default" w:ascii="Times New Roman" w:hAnsi="Times New Roman" w:eastAsia="方正小标宋_GBK" w:cs="Times New Roman"/>
          <w:b w:val="0"/>
          <w:bCs/>
          <w:color w:val="000000" w:themeColor="text1"/>
          <w:sz w:val="44"/>
          <w:szCs w:val="44"/>
          <w14:textFill>
            <w14:solidFill>
              <w14:schemeClr w14:val="tx1"/>
            </w14:solidFill>
          </w14:textFill>
        </w:rPr>
      </w:pP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年度全</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市</w:t>
      </w:r>
      <w:r>
        <w:rPr>
          <w:rFonts w:hint="default" w:ascii="Times New Roman" w:hAnsi="Times New Roman" w:eastAsia="方正仿宋_GBK" w:cs="Times New Roman"/>
          <w:color w:val="000000" w:themeColor="text1"/>
          <w:sz w:val="32"/>
          <w:szCs w:val="32"/>
          <w14:textFill>
            <w14:solidFill>
              <w14:schemeClr w14:val="tx1"/>
            </w14:solidFill>
          </w14:textFill>
        </w:rPr>
        <w:t>卫生系列</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副</w:t>
      </w:r>
      <w:r>
        <w:rPr>
          <w:rFonts w:hint="default" w:ascii="Times New Roman" w:hAnsi="Times New Roman" w:eastAsia="方正仿宋_GBK" w:cs="Times New Roman"/>
          <w:color w:val="000000" w:themeColor="text1"/>
          <w:sz w:val="32"/>
          <w:szCs w:val="32"/>
          <w14:textFill>
            <w14:solidFill>
              <w14:schemeClr w14:val="tx1"/>
            </w14:solidFill>
          </w14:textFill>
        </w:rPr>
        <w:t>高级专业技术资格申报实行网上申报，系统操作手册见网站。提交材料内容如下：</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一、委托函、评审表等资料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各</w:t>
      </w:r>
      <w:r>
        <w:rPr>
          <w:rFonts w:hint="eastAsia" w:ascii="Times New Roman" w:hAnsi="Times New Roman" w:eastAsia="方正仿宋_GBK" w:cs="Times New Roman"/>
          <w:color w:val="000000" w:themeColor="text1"/>
          <w:sz w:val="32"/>
          <w:szCs w:val="32"/>
          <w14:textFill>
            <w14:solidFill>
              <w14:schemeClr w14:val="tx1"/>
            </w14:solidFill>
          </w14:textFill>
        </w:rPr>
        <w:t>县（区）人力资源和社会保障局、市直主管部门或档案管理单位委托评审函1份，并附《20</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年申报卫生系列副高级专业技术职务任职资格人员评审情况一览表》（见附件4，农村卫生机构、城市基层卫生机构及破格申报人员分别填报）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纸质盖章版</w:t>
      </w:r>
      <w:r>
        <w:rPr>
          <w:rFonts w:hint="eastAsia" w:ascii="Times New Roman" w:hAnsi="Times New Roman" w:eastAsia="方正仿宋_GBK" w:cs="Times New Roman"/>
          <w:color w:val="000000" w:themeColor="text1"/>
          <w:sz w:val="32"/>
          <w:szCs w:val="32"/>
          <w14:textFill>
            <w14:solidFill>
              <w14:schemeClr w14:val="tx1"/>
            </w14:solidFill>
          </w14:textFill>
        </w:rPr>
        <w:t>及电子文档（EXCEL格式）各1份。</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县区</w:t>
      </w:r>
      <w:r>
        <w:rPr>
          <w:rFonts w:hint="eastAsia" w:ascii="Times New Roman" w:hAnsi="Times New Roman" w:eastAsia="方正仿宋_GBK" w:cs="Times New Roman"/>
          <w:color w:val="000000" w:themeColor="text1"/>
          <w:sz w:val="32"/>
          <w:szCs w:val="32"/>
          <w14:textFill>
            <w14:solidFill>
              <w14:schemeClr w14:val="tx1"/>
            </w14:solidFill>
          </w14:textFill>
        </w:rPr>
        <w:t>各单位于评审结束后，报送通过人员的《专业技术职务任职资格评审表》纸质版，一式2份。农村卫生机构、城市基层卫生机构申报者和破格申报专业技术资格者请在评审表封面右上角注明农村、城市基层或破格申报字样。具体报送时间另行通知。</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14:textFill>
            <w14:solidFill>
              <w14:schemeClr w14:val="tx1"/>
            </w14:solidFill>
          </w14:textFill>
        </w:rPr>
        <w:t>．单位公示证明（见附件5）。</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default" w:ascii="方正黑体_GBK" w:hAnsi="方正黑体_GBK" w:eastAsia="方正黑体_GBK" w:cs="方正黑体_GBK"/>
          <w:b w:val="0"/>
          <w:bCs/>
          <w:color w:val="000000" w:themeColor="text1"/>
          <w:kern w:val="0"/>
          <w:sz w:val="32"/>
          <w:szCs w:val="32"/>
          <w:lang w:val="en-US" w:eastAsia="zh-CN"/>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二、申报人员基本情况证明材料，提交相关证书及有关材料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1．提交《医疗机构执业许可证》（副本）一份。</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执业医师（护士）资格证书、注册证书：申报有执业资格要求专业的，提交执业医师资格和注册证书或护士执业资格证书。申报临床、中医、口腔、预防等专业副主任医师资格的，必须具有相应类别的医师资格证书并已登记注册，执业范围应与申报专业相符。申报全科医学专业的提交执业范围为全科医学的注册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3．现专业技术资格批复或证书、聘书（包括首聘和续聘聘书或聘用合同）。</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4．学历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或学位</w:t>
      </w:r>
      <w:r>
        <w:rPr>
          <w:rFonts w:hint="eastAsia" w:ascii="Times New Roman" w:hAnsi="Times New Roman" w:eastAsia="方正仿宋_GBK" w:cs="Times New Roman"/>
          <w:color w:val="000000" w:themeColor="text1"/>
          <w:sz w:val="32"/>
          <w:szCs w:val="32"/>
          <w14:textFill>
            <w14:solidFill>
              <w14:schemeClr w14:val="tx1"/>
            </w14:solidFill>
          </w14:textFill>
        </w:rPr>
        <w:t>证书：提交国家教育、卫生行政部门认可、列入国民教育系列的本专业或相应专业学历证书。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（1）申报有执业医师资格要求的专业，提交医学类专业学历（学位）证书；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（2）申报有护士执业资格要求的专业，提交护理或助产专业学历证书；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（3）申报药学专业，提交药学专业学历证书；申报中药学专业，提供中药学专业学历证书；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（4）申报医技类专业，提交医技类相近专业的学历证书；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副高级职务任职资格时与本科毕业生同等对待，参照原安徽省教委、安徽省人事厅教成〔1998〕26号文件精神，计算学历取得时间：1998年7月1日以前的毕业生，从1998年7月1日算起；1998年7月1日以后的毕业生，从取得第二专业专科毕业证书下个月算起。</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（6）留学归国人员，提交国家教育部留学服务中心出具的国外学历学位认证书。驻外使领馆出具的留学回国人员证明不能作为学历学位认证的依据。</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5．有效的《安徽省专业技术人员继续教育证书》。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方正黑体_GBK" w:hAnsi="方正黑体_GBK" w:eastAsia="方正黑体_GBK" w:cs="方正黑体_GBK"/>
          <w:b w:val="0"/>
          <w:bCs/>
          <w:color w:val="000000" w:themeColor="text1"/>
          <w:kern w:val="0"/>
          <w:sz w:val="32"/>
          <w:szCs w:val="32"/>
          <w:lang w:eastAsia="zh-CN"/>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三、支援基层材料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晋升副高级职称前支援基层范围为县级及以上医疗、疾控和妇保机构的医生，支援时间参照《关于做好城市医疗卫生机构对口支援基层卫生工作的通知》（卫基层秘﹝2015﹞277号）要求执行。支援工作要紧紧围绕帮助受援机构“解决一项医疗防病急需，突破一个薄弱环节，带出一支技术团队，新增一个服务项目”的基本要求，着重帮扶受援机构建设1-2个特色专科，培育3项以上适宜技术，不断提高其对常见病、多发病的预防、诊治、手术以及急诊急救处置等能力，着重帮扶受援机构提高服务水平和管理水平，促进基层卫生单位提高医疗防病水平，满足全省居民日益增长的健康需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在我省县级以上医疗卫生机构（含公卫类机构）工作、拟晋升副高级职称的执业医师，须按照《关于执业医师晋升副高级职称前服务基层有关问题的通知》（皖卫函〔2023〕152号）提供支援期间的文字性工作总结和卫基层秘﹝2015﹞277号附件2-4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任期内执行连续3个月以上的援外、援藏、援疆、援青任务，或执行“百医驻村”、“千医下乡”任务的人员，以及符合条件的疫情防控一线人员视同为符合晋升前支援基层要求，证明材料统一由市以上卫生健康行政部门、中央驻皖单位和省直有关单位出具。</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四、任现职以来专业技术工作情况</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提交反映任现职以来的病案、专题报告等资料。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2" w:firstLineChars="200"/>
        <w:jc w:val="left"/>
        <w:textAlignment w:val="auto"/>
        <w:rPr>
          <w:rFonts w:hint="default" w:ascii="Times New Roman" w:hAnsi="Times New Roman" w:eastAsia="方正仿宋_GBK" w:cs="Times New Roman"/>
          <w:b/>
          <w:color w:val="000000" w:themeColor="text1"/>
          <w:kern w:val="0"/>
          <w:sz w:val="32"/>
          <w:szCs w:val="32"/>
          <w14:textFill>
            <w14:solidFill>
              <w14:schemeClr w14:val="tx1"/>
            </w14:solidFill>
          </w14:textFill>
        </w:rPr>
      </w:pPr>
      <w:r>
        <w:rPr>
          <w:rFonts w:hint="default" w:ascii="Times New Roman" w:hAnsi="Times New Roman" w:eastAsia="方正仿宋_GBK" w:cs="Times New Roman"/>
          <w:b/>
          <w:color w:val="000000" w:themeColor="text1"/>
          <w:kern w:val="0"/>
          <w:sz w:val="32"/>
          <w:szCs w:val="32"/>
          <w14:textFill>
            <w14:solidFill>
              <w14:schemeClr w14:val="tx1"/>
            </w14:solidFill>
          </w14:textFill>
        </w:rPr>
        <w:t>1.病案</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（1）20例随机病案抽取</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a.抽取范围</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申报人员近5年（2020年1月1日-2024年9月30日）所有经治病例中，符合以下条件的所有病案均纳入抽取范围：</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三级及以上医疗机构（不含中医医疗机构）中，内科病案综合评分（RW值）≥1的，外科病案手术分级为三级及以上的（按照国家手术分级目录确定）；二级医疗机构（含三级及以上中医医疗机构）中，内科病案住院天数超过本科室近5年病案平均住院天数的，外科手术分级为二级及以上的（按照国家手术分级目录确定）。</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b.抽取方式</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由所在单位同级卫生健康部门会同所在单位人事、医务、病案管理、纪检部门在确定的抽取范围内，按照以下抽取规则随机抽取20份。</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一是保持均衡性，近5年平均每年抽取4份，如有某个年度没有病例，则平均分配到其他年度进行抽取；二是保持随机性，每年抽取的病例要平均分配到每个季度，原则上为每个季度中某个月某个周的病例，具体哪个月和哪个周，由</w:t>
      </w:r>
      <w:r>
        <w:rPr>
          <w:rFonts w:hint="eastAsia" w:eastAsia="方正仿宋_GBK" w:cs="Times New Roman"/>
          <w:color w:val="000000" w:themeColor="text1"/>
          <w:sz w:val="32"/>
          <w:szCs w:val="32"/>
          <w:lang w:eastAsia="zh-CN"/>
          <w14:textFill>
            <w14:solidFill>
              <w14:schemeClr w14:val="tx1"/>
            </w14:solidFill>
          </w14:textFill>
        </w:rPr>
        <w:t>市</w:t>
      </w:r>
      <w:r>
        <w:rPr>
          <w:rFonts w:hint="eastAsia" w:ascii="Times New Roman" w:hAnsi="Times New Roman" w:eastAsia="方正仿宋_GBK" w:cs="Times New Roman"/>
          <w:color w:val="000000" w:themeColor="text1"/>
          <w:sz w:val="32"/>
          <w:szCs w:val="32"/>
          <w14:textFill>
            <w14:solidFill>
              <w14:schemeClr w14:val="tx1"/>
            </w14:solidFill>
          </w14:textFill>
        </w:rPr>
        <w:t>卫生健康委随机确定后通知医疗机构进行抽取。</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c.报送方式</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抽取20例病例信息后，由同级卫生健康部门登记在统计表内，形成《经治病例20例一览表》（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格式见</w:t>
      </w:r>
      <w:r>
        <w:rPr>
          <w:rFonts w:hint="eastAsia" w:ascii="Times New Roman" w:hAnsi="Times New Roman" w:eastAsia="方正仿宋_GBK" w:cs="Times New Roman"/>
          <w:color w:val="000000" w:themeColor="text1"/>
          <w:sz w:val="32"/>
          <w:szCs w:val="32"/>
          <w14:textFill>
            <w14:solidFill>
              <w14:schemeClr w14:val="tx1"/>
            </w14:solidFill>
          </w14:textFill>
        </w:rPr>
        <w:t>附件2，命名格式为：单位名称+申报人员姓名），加盖申报人员所在单位人事、医务、病案管理、纪检部门印章后随其他申报材料逐级报送</w:t>
      </w:r>
      <w:r>
        <w:rPr>
          <w:rFonts w:hint="eastAsia" w:eastAsia="方正仿宋_GBK" w:cs="Times New Roman"/>
          <w:color w:val="000000" w:themeColor="text1"/>
          <w:sz w:val="32"/>
          <w:szCs w:val="32"/>
          <w:lang w:eastAsia="zh-CN"/>
          <w14:textFill>
            <w14:solidFill>
              <w14:schemeClr w14:val="tx1"/>
            </w14:solidFill>
          </w14:textFill>
        </w:rPr>
        <w:t>市</w:t>
      </w:r>
      <w:r>
        <w:rPr>
          <w:rFonts w:hint="eastAsia" w:ascii="Times New Roman" w:hAnsi="Times New Roman" w:eastAsia="方正仿宋_GBK" w:cs="Times New Roman"/>
          <w:color w:val="000000" w:themeColor="text1"/>
          <w:sz w:val="32"/>
          <w:szCs w:val="32"/>
          <w14:textFill>
            <w14:solidFill>
              <w14:schemeClr w14:val="tx1"/>
            </w14:solidFill>
          </w14:textFill>
        </w:rPr>
        <w:t xml:space="preserve">卫生健康委，同时将抽取情况反馈申报人员。 </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设病床的临床科室专业人员在随机抽取20例病例后，还须填报任现职以来近5年（2020-2024年）的《主持危急重症抢救和疑难病症处理或主刀（指导）手术病例30例一览表》（以下简称《30例一览表》，电子版），每年病例数不少于10%，所有时间节点以出院时间为算。自行填报的《30例一览表》病案不得与随机抽取20例病例重复。</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经治病例20例一览表》和《30例一览表》合并成《主持危急重症抢救和疑难病症处理或主刀（指导）手术病例50例一览表》（以下简称《50例一览表》）提交申报系统。填报系统《50例一览表》时，《经治病例20例一览表》填入前20行，《30例一览表》填入后30行，不得修改填报顺序，一</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14:textFill>
            <w14:solidFill>
              <w14:schemeClr w14:val="tx1"/>
            </w14:solidFill>
          </w14:textFill>
        </w:rPr>
        <w:t>发现申报者前20行与单位提供的《经治病例20例一览表》信息不一致，直接取消申报资格。</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（4）评审组织机构从申报人提交的《50例一览表》中随机抽取8份病案上报评审，其中，在随即抽取的20例病例中抽取4份。</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（5）抽取的病案须提供原始病案电子版，具体要求如下：</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a.实现无纸化电子病历的医疗机构，由申报者所在单位的人事部门携带相应病案编码，会同所在单位医务、病案管理、纪检部门直接从电子病案系统抽取对应完整病案，制成PDF文件，各部门签字盖章后封存，按照要求逐级提交至</w:t>
      </w:r>
      <w:r>
        <w:rPr>
          <w:rFonts w:hint="eastAsia" w:eastAsia="方正仿宋_GBK" w:cs="Times New Roman"/>
          <w:color w:val="000000" w:themeColor="text1"/>
          <w:sz w:val="32"/>
          <w:szCs w:val="32"/>
          <w:lang w:eastAsia="zh-CN"/>
          <w14:textFill>
            <w14:solidFill>
              <w14:schemeClr w14:val="tx1"/>
            </w14:solidFill>
          </w14:textFill>
        </w:rPr>
        <w:t>宿州市</w:t>
      </w:r>
      <w:r>
        <w:rPr>
          <w:rFonts w:hint="eastAsia" w:ascii="Times New Roman" w:hAnsi="Times New Roman" w:eastAsia="方正仿宋_GBK" w:cs="Times New Roman"/>
          <w:color w:val="000000" w:themeColor="text1"/>
          <w:sz w:val="32"/>
          <w:szCs w:val="32"/>
          <w14:textFill>
            <w14:solidFill>
              <w14:schemeClr w14:val="tx1"/>
            </w14:solidFill>
          </w14:textFill>
        </w:rPr>
        <w:t>卫健委高级职称评审委员会。</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b.实现部分无纸化电子病历的医疗机构，由申报者所在单位的人事部门携带相应病案编码，会同所在单位医务、病案管理、纪检部门，抽取对应完整病案的扫描版，制成PDF文件，各部门签字盖章后封存，按照要求逐级提交至</w:t>
      </w:r>
      <w:r>
        <w:rPr>
          <w:rFonts w:hint="eastAsia" w:eastAsia="方正仿宋_GBK" w:cs="Times New Roman"/>
          <w:color w:val="000000" w:themeColor="text1"/>
          <w:sz w:val="32"/>
          <w:szCs w:val="32"/>
          <w:lang w:eastAsia="zh-CN"/>
          <w14:textFill>
            <w14:solidFill>
              <w14:schemeClr w14:val="tx1"/>
            </w14:solidFill>
          </w14:textFill>
        </w:rPr>
        <w:t>宿州市</w:t>
      </w:r>
      <w:r>
        <w:rPr>
          <w:rFonts w:hint="eastAsia" w:ascii="Times New Roman" w:hAnsi="Times New Roman" w:eastAsia="方正仿宋_GBK" w:cs="Times New Roman"/>
          <w:color w:val="000000" w:themeColor="text1"/>
          <w:sz w:val="32"/>
          <w:szCs w:val="32"/>
          <w14:textFill>
            <w14:solidFill>
              <w14:schemeClr w14:val="tx1"/>
            </w14:solidFill>
          </w14:textFill>
        </w:rPr>
        <w:t>卫健委高级职称评审委员会。</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c.只有纸质病案的医疗机构，由申报者所在单位的人事部门携带相应病案编码，会同所在单位医务、病案管理、纪检部门，现场扫描对应的完整病案，制成PDF文件，各部门签字盖章后封存，按照要求逐级提交至</w:t>
      </w:r>
      <w:r>
        <w:rPr>
          <w:rFonts w:hint="eastAsia" w:eastAsia="方正仿宋_GBK" w:cs="Times New Roman"/>
          <w:color w:val="000000" w:themeColor="text1"/>
          <w:sz w:val="32"/>
          <w:szCs w:val="32"/>
          <w:lang w:eastAsia="zh-CN"/>
          <w14:textFill>
            <w14:solidFill>
              <w14:schemeClr w14:val="tx1"/>
            </w14:solidFill>
          </w14:textFill>
        </w:rPr>
        <w:t>宿州市</w:t>
      </w:r>
      <w:bookmarkStart w:id="0" w:name="_GoBack"/>
      <w:bookmarkEnd w:id="0"/>
      <w:r>
        <w:rPr>
          <w:rFonts w:hint="eastAsia" w:ascii="Times New Roman" w:hAnsi="Times New Roman" w:eastAsia="方正仿宋_GBK" w:cs="Times New Roman"/>
          <w:color w:val="000000" w:themeColor="text1"/>
          <w:sz w:val="32"/>
          <w:szCs w:val="32"/>
          <w14:textFill>
            <w14:solidFill>
              <w14:schemeClr w14:val="tx1"/>
            </w14:solidFill>
          </w14:textFill>
        </w:rPr>
        <w:t>卫健委高级职称评审委员会。</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_GBK" w:cs="Times New Roman"/>
          <w:color w:val="000000" w:themeColor="text1"/>
          <w:sz w:val="32"/>
          <w:szCs w:val="32"/>
          <w14:textFill>
            <w14:solidFill>
              <w14:schemeClr w14:val="tx1"/>
            </w14:solidFill>
          </w14:textFill>
        </w:rPr>
        <w:t>）《经治病例20例一览表》《30例一览表》内的所有病案必须为申报者本人主治，同时以手术为主的临床专业必须为本人主刀。</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2" w:firstLineChars="200"/>
        <w:jc w:val="left"/>
        <w:textAlignment w:val="auto"/>
        <w:rPr>
          <w:rFonts w:hint="eastAsia" w:ascii="Times New Roman" w:hAnsi="Times New Roman" w:eastAsia="方正仿宋_GBK" w:cs="Times New Roman"/>
          <w:b/>
          <w:color w:val="000000" w:themeColor="text1"/>
          <w:kern w:val="0"/>
          <w:sz w:val="32"/>
          <w:szCs w:val="32"/>
          <w14:textFill>
            <w14:solidFill>
              <w14:schemeClr w14:val="tx1"/>
            </w14:solidFill>
          </w14:textFill>
        </w:rPr>
      </w:pPr>
      <w:r>
        <w:rPr>
          <w:rFonts w:hint="eastAsia" w:ascii="Times New Roman" w:hAnsi="Times New Roman" w:eastAsia="方正仿宋_GBK" w:cs="Times New Roman"/>
          <w:b/>
          <w:color w:val="000000" w:themeColor="text1"/>
          <w:kern w:val="0"/>
          <w:sz w:val="32"/>
          <w:szCs w:val="32"/>
          <w14:textFill>
            <w14:solidFill>
              <w14:schemeClr w14:val="tx1"/>
            </w14:solidFill>
          </w14:textFill>
        </w:rPr>
        <w:t>2.专题报告：</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不设病床的临床科室、非临床科室以及其它医疗卫生单位专业技术人员提供反映本人专业技术工作能力与水平并在实际工作中解决本专业复杂疑难问题的专题报告6份。专题报告内容应与申报专业一致，书写要求见《评审标准条件》。</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(2)专题报告内容应与考核登记表中登记的岗位与申报专业一致，书写要求见《评审标准条件》（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皖</w:t>
      </w:r>
      <w:r>
        <w:rPr>
          <w:rFonts w:hint="eastAsia" w:ascii="Times New Roman" w:hAnsi="Times New Roman" w:eastAsia="方正仿宋_GBK" w:cs="Times New Roman"/>
          <w:color w:val="000000" w:themeColor="text1"/>
          <w:sz w:val="32"/>
          <w:szCs w:val="32"/>
          <w14:textFill>
            <w14:solidFill>
              <w14:schemeClr w14:val="tx1"/>
            </w14:solidFill>
          </w14:textFill>
        </w:rPr>
        <w:t>卫人秘﹝201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153</w:t>
      </w:r>
      <w:r>
        <w:rPr>
          <w:rFonts w:hint="eastAsia" w:ascii="Times New Roman" w:hAnsi="Times New Roman" w:eastAsia="方正仿宋_GBK" w:cs="Times New Roman"/>
          <w:color w:val="000000" w:themeColor="text1"/>
          <w:sz w:val="32"/>
          <w:szCs w:val="32"/>
          <w14:textFill>
            <w14:solidFill>
              <w14:schemeClr w14:val="tx1"/>
            </w14:solidFill>
          </w14:textFill>
        </w:rPr>
        <w:t>号）,并附能证实专题报告真实性、有效性、准确性的《原始资料一览表》（要求为专题报告内容中的所有病案资料，且不得少于10例；时间为任现职以来近5年（20</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w:t>
      </w:r>
      <w:r>
        <w:rPr>
          <w:rFonts w:hint="eastAsia" w:ascii="Times New Roman" w:hAnsi="Times New Roman" w:eastAsia="方正仿宋_GBK" w:cs="Times New Roman"/>
          <w:color w:val="000000" w:themeColor="text1"/>
          <w:sz w:val="32"/>
          <w:szCs w:val="32"/>
          <w14:textFill>
            <w14:solidFill>
              <w14:schemeClr w14:val="tx1"/>
            </w14:solidFill>
          </w14:textFill>
        </w:rPr>
        <w:t>-202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的材料，且至少包含其中三个年度；每份专题的原始资料内50%及以上需为本人主治或者主刀；其他非本人主治或主刀的，申报人本人必须参与该病案诊疗。且原始资料一览表项目包括住院号、治疗日期、姓名、性别、年龄、手术/治疗名称等），每份专题由评审组织机构从《原始资料一览表》中随机抽取3份</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纸质原件</w:t>
      </w:r>
      <w:r>
        <w:rPr>
          <w:rFonts w:hint="eastAsia" w:ascii="Times New Roman" w:hAnsi="Times New Roman" w:eastAsia="方正仿宋_GBK" w:cs="Times New Roman"/>
          <w:color w:val="000000" w:themeColor="text1"/>
          <w:sz w:val="32"/>
          <w:szCs w:val="32"/>
          <w14:textFill>
            <w14:solidFill>
              <w14:schemeClr w14:val="tx1"/>
            </w14:solidFill>
          </w14:textFill>
        </w:rPr>
        <w:t>提交评审（所有与病案相关的原始资料只认可住院号或门诊号）。原始资料非病案的，可以不使用申报系统的模板表格填写，但需要提交全部原始资料。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(3)护理专业申报副高不得提交管理类专题。</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(4)麻醉专业提交的原始资料须为整份病案原件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扫描版</w:t>
      </w:r>
      <w:r>
        <w:rPr>
          <w:rFonts w:hint="eastAsia" w:ascii="Times New Roman" w:hAnsi="Times New Roman" w:eastAsia="方正仿宋_GBK" w:cs="Times New Roman"/>
          <w:color w:val="000000" w:themeColor="text1"/>
          <w:sz w:val="32"/>
          <w:szCs w:val="32"/>
          <w14:textFill>
            <w14:solidFill>
              <w14:schemeClr w14:val="tx1"/>
            </w14:solidFill>
          </w14:textFill>
        </w:rPr>
        <w:t>，且每例手术麻醉须有五单（术前访视单、知情同意书、三方核查单、麻醉记录单、术后随访单），缺一不可，且须本人签名。</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(5)放射、超声、检验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、药学</w:t>
      </w:r>
      <w:r>
        <w:rPr>
          <w:rFonts w:hint="eastAsia" w:ascii="Times New Roman" w:hAnsi="Times New Roman" w:eastAsia="方正仿宋_GBK" w:cs="Times New Roman"/>
          <w:color w:val="000000" w:themeColor="text1"/>
          <w:sz w:val="32"/>
          <w:szCs w:val="32"/>
          <w14:textFill>
            <w14:solidFill>
              <w14:schemeClr w14:val="tx1"/>
            </w14:solidFill>
          </w14:textFill>
        </w:rPr>
        <w:t>等专业</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，其原始资料涉及临床病案的，须提交整份病案原件扫描版</w:t>
      </w:r>
      <w:r>
        <w:rPr>
          <w:rFonts w:hint="eastAsia"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(6)妇女保健、儿童保健和各类公共卫生专业提交评审的专题报告必须反映申报者本人的工作或贡献，不得为单位或科室的项目或工作总结。</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7</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专题报告命名格式为：专题序号</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+标题。</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2" w:firstLineChars="200"/>
        <w:jc w:val="left"/>
        <w:textAlignment w:val="auto"/>
        <w:rPr>
          <w:rFonts w:hint="eastAsia" w:ascii="Times New Roman" w:hAnsi="Times New Roman" w:eastAsia="方正仿宋_GBK" w:cs="Times New Roman"/>
          <w:b/>
          <w:color w:val="000000" w:themeColor="text1"/>
          <w:kern w:val="0"/>
          <w:sz w:val="32"/>
          <w:szCs w:val="32"/>
          <w14:textFill>
            <w14:solidFill>
              <w14:schemeClr w14:val="tx1"/>
            </w14:solidFill>
          </w14:textFill>
        </w:rPr>
      </w:pPr>
      <w:r>
        <w:rPr>
          <w:rFonts w:hint="eastAsia" w:ascii="Times New Roman" w:hAnsi="Times New Roman" w:eastAsia="方正仿宋_GBK" w:cs="Times New Roman"/>
          <w:b/>
          <w:color w:val="000000" w:themeColor="text1"/>
          <w:kern w:val="0"/>
          <w:sz w:val="32"/>
          <w:szCs w:val="32"/>
          <w14:textFill>
            <w14:solidFill>
              <w14:schemeClr w14:val="tx1"/>
            </w14:solidFill>
          </w14:textFill>
        </w:rPr>
        <w:t>3.综述</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提交本人撰写的有关本专业国内外技术发展动态的综述资料1份,具体要求见《评审标准条件》。综述要求：参考文献20篇及以上，其中近3年（20</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22</w:t>
      </w:r>
      <w:r>
        <w:rPr>
          <w:rFonts w:hint="eastAsia" w:ascii="Times New Roman" w:hAnsi="Times New Roman" w:eastAsia="方正仿宋_GBK" w:cs="Times New Roman"/>
          <w:color w:val="000000" w:themeColor="text1"/>
          <w:sz w:val="32"/>
          <w:szCs w:val="32"/>
          <w14:textFill>
            <w14:solidFill>
              <w14:schemeClr w14:val="tx1"/>
            </w14:solidFill>
          </w14:textFill>
        </w:rPr>
        <w:t>-202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年）不少于10篇；参考文献原则上不能引用综述类文章（如确实引用了综述类文章，这类文章不得超过3篇，去除这3篇后，其他参考文献数量仍需符合要求）。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4.业务工作总结</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一、二级医院、县级公共卫生和妇幼保健机构申报副高人员以及农村和城市基层卫生机构申报人员需提交任期内业务工作总结一份，重点是对本专业工作的实践经验总结和心得体会，不能少于3000字。</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eastAsia" w:ascii="Times New Roman" w:hAnsi="Times New Roman" w:eastAsia="方正仿宋_GBK" w:cs="Times New Roman"/>
          <w:color w:val="000000" w:themeColor="text1"/>
          <w:sz w:val="32"/>
          <w:szCs w:val="32"/>
          <w14:textFill>
            <w14:solidFill>
              <w14:schemeClr w14:val="tx1"/>
            </w14:solidFill>
          </w14:textFill>
        </w:rPr>
        <w:t>.直接申报卫生专业技术资格人员应填写直接申报评审表并对照直接申报条件提供符合条件的奖励、科技进步奖等相关材料。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五、论文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1.提供本专业论文，发表时间在任期内，截止时间为202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年9月30日。</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2.每篇送审论文应提交证实论文真实性、有效性、准确性的《临床资料或其他相关资料一览表》（电子版），从中随机抽取1份原始资料提交评审。</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4.提交在国外专业期刊上发表的外国语言类送审论文，同时提交中文译文。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5.中国科技核心期刊（中国科技论文统计源期刊）目录以中国科学技术信息研究所颁布的目录为准（网址：http://www.istic.ac.cn）。</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6.以下论文不作为评审专业技术资格的论文依据。</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（1）发表在刊物增刊、内刊、专刊、特刊、论文集上的论文。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（2）学位论文、科普文章、介绍性文章、综述、简介、问答、报导、教辅、通讯、讲话（报告）、工作总结、meta分析论文。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（3）凡是国家新闻出版广电总局和省级新闻出版行政部门通报确定的违法刊物、盗用刊号刊物、盗版印刷刊物等刊物上刊发的论文。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（4）不是以第一作者署名发表的论文（并列第一作者只认可排序第一的作者）。</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（五）其他成果代表作（可提供原件材料）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为贯彻落实《关于深化卫生专业技术人员职称制度改革的指导意见》（人社部发〔2021〕51号）要求，破除唯论文、唯学历、唯奖项、唯“帽子”等倾向，如申报人员202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年晋升时不能按照现有标准文件提交论文的，可以提交其他成果代表作。</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1.临床案例：2份。内容包括原始病案和相应的病案报告。要求为申报人主治，且手术为主的专业要求为申报人主刀。</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2.手术/操作视频：手术/操作必须为申报者本人主刀，三级医院提供三级及以上手术视频3个（申报正高者至少包括1个四级手术），二级医院提供二级及以上手术视频3个（申报正高至少包括1个三级手术）。</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（1）手术/操作视频为原始视频，不准剪辑，可回溯整个手术/操作细节；视频内容与申报专业一致，并由单位提供确认书。手术视频刻录成光盘随纸质材料一并上报。</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（2）手术/操作视频须附完整病案。</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（3）提供关于手术/操作视频介绍的文字材料：包括患者病情介绍，手术/操作计划、难度分析和关键步骤介绍（标注每一步骤在视频中的对应时间）等。</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（4）视频录制时应告知患者及其家属，签订知情同意书，并经医院伦理委员会审批。</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（5）参与手术/操作的人员（1助、2助、麻醉师等）和单位负责人共同签署手术/操作视频诚信承诺书。</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3.护理案例：2份。内容包括原始病案和相应的病案护理报告。申报者须为该病案的责任护士。</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（1）原始病案为典型、疑难、或通过复杂抢救成功的案例，能体现通过护理新技术、新方法、循证证据等改善患者病情，有一定的科学性和创新性，在临床可借鉴、可推广。</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（2）病案护理报告以护理问题为导向，包括临床资料介绍、患者存在的主要问题、护理措施应用、护理效果及讨论等相关内容；字数≥2000字/篇。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5.卫生标准或技术规范：</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（1）在国家级卫生行业标准、或者在中华医学会系列杂志正刊发表的疾病相关指南或专家共识等。</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（2）三甲医院参与省级质控标准的制定，二级医院参加市级质控指标制定。</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（4）申报副高职称须提交参与本专业技术规范或卫生标准制定的文本资料；申报正高支持须提交主持本专业技术规范或卫生标准制定的文本资料。</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6.科普作品：</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（1）数量要求：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晋升副高级职称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14:textFill>
            <w14:solidFill>
              <w14:schemeClr w14:val="tx1"/>
            </w14:solidFill>
          </w14:textFill>
        </w:rPr>
        <w:t>三级医院和省市级公共卫生机构申报者获得市厅级以上（含省级以上一级学会）科普奖（限第1位），或在官方媒体发布科普作品，累计2项；二级医院和县级公共卫生机构申报者获得市厅级以上（含省级以上一级学会）科普奖（限第1位）1项，或在官方媒体发布科普作品1项。</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晋升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正</w:t>
      </w:r>
      <w:r>
        <w:rPr>
          <w:rFonts w:hint="eastAsia" w:ascii="Times New Roman" w:hAnsi="Times New Roman" w:eastAsia="方正仿宋_GBK" w:cs="Times New Roman"/>
          <w:color w:val="000000" w:themeColor="text1"/>
          <w:sz w:val="32"/>
          <w:szCs w:val="32"/>
          <w14:textFill>
            <w14:solidFill>
              <w14:schemeClr w14:val="tx1"/>
            </w14:solidFill>
          </w14:textFill>
        </w:rPr>
        <w:t>高级职称：三级医院和省市级公共卫生机构申报者获得市厅级以上（含省级以上一级学会）科普奖（限第1位），或在官方媒体发布科普作品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14:textFill>
            <w14:solidFill>
              <w14:schemeClr w14:val="tx1"/>
            </w14:solidFill>
          </w14:textFill>
        </w:rPr>
        <w:t>累计3项；二级医院和县级公共卫生机构申报者获得市厅级以上（含省级以上一级学会）科普奖（限第1位），或在官方媒体发布的科普作品，累计2项。</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（2）材料要求：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①均为向大众普及本专业科学知识形成，须提供作品原件、获奖证书、视频网址或采访函等材料证实科普作品的真实性。</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②官方媒体包括：</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省市广播电视报刊：省市级日报，以及省级日报集团主办的相关报刊；安徽卫视（包含安徽卫视的其他频道）、地市卫视（不包含地市卫视的其他频道）。</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省级以上行业报刊：主管单位为省部级单位，主办单位为市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厅级单位。例如：健康报。</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省市级卫生健康委官方媒体：省市卫生健康委官网和官微。</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例如：健康安徽微信公众号。</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③科普文章类要求以第一作者发表，字数≥1500 字/篇。科</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普音视频包括：科普讲座、专场访谈和广播类节目等，时间≥15</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分钟/次。</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color w:val="000000" w:themeColor="text1"/>
          <w:kern w:val="0"/>
          <w:sz w:val="32"/>
          <w:szCs w:val="32"/>
          <w14:textFill>
            <w14:solidFill>
              <w14:schemeClr w14:val="tx1"/>
            </w14:solidFill>
          </w14:textFill>
        </w:rPr>
        <w:t>六、其他相关要求</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1.10月</w:t>
      </w:r>
      <w:r>
        <w:rPr>
          <w:rFonts w:hint="eastAsia" w:eastAsia="方正仿宋_GBK" w:cs="Times New Roman"/>
          <w:color w:val="000000" w:themeColor="text1"/>
          <w:sz w:val="32"/>
          <w:szCs w:val="32"/>
          <w:lang w:val="en-US" w:eastAsia="zh-CN"/>
          <w14:textFill>
            <w14:solidFill>
              <w14:schemeClr w14:val="tx1"/>
            </w14:solidFill>
          </w14:textFill>
        </w:rPr>
        <w:t>22</w:t>
      </w:r>
      <w:r>
        <w:rPr>
          <w:rFonts w:hint="eastAsia" w:ascii="Times New Roman" w:hAnsi="Times New Roman" w:eastAsia="方正仿宋_GBK" w:cs="Times New Roman"/>
          <w:color w:val="000000" w:themeColor="text1"/>
          <w:sz w:val="32"/>
          <w:szCs w:val="32"/>
          <w14:textFill>
            <w14:solidFill>
              <w14:schemeClr w14:val="tx1"/>
            </w14:solidFill>
          </w14:textFill>
        </w:rPr>
        <w:t>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月</w:t>
      </w:r>
      <w:r>
        <w:rPr>
          <w:rFonts w:hint="eastAsia"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日期间申报人登陆网站“202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宿州市</w:t>
      </w:r>
      <w:r>
        <w:rPr>
          <w:rFonts w:hint="eastAsia" w:ascii="Times New Roman" w:hAnsi="Times New Roman" w:eastAsia="方正仿宋_GBK" w:cs="Times New Roman"/>
          <w:color w:val="000000" w:themeColor="text1"/>
          <w:sz w:val="32"/>
          <w:szCs w:val="32"/>
          <w14:textFill>
            <w14:solidFill>
              <w14:schemeClr w14:val="tx1"/>
            </w14:solidFill>
          </w14:textFill>
        </w:rPr>
        <w:t>卫生系列</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副</w:t>
      </w:r>
      <w:r>
        <w:rPr>
          <w:rFonts w:hint="eastAsia" w:ascii="Times New Roman" w:hAnsi="Times New Roman" w:eastAsia="方正仿宋_GBK" w:cs="Times New Roman"/>
          <w:color w:val="000000" w:themeColor="text1"/>
          <w:sz w:val="32"/>
          <w:szCs w:val="32"/>
          <w14:textFill>
            <w14:solidFill>
              <w14:schemeClr w14:val="tx1"/>
            </w14:solidFill>
          </w14:textFill>
        </w:rPr>
        <w:t>高级职称评审委员会</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申报系统</w:t>
      </w:r>
      <w:r>
        <w:rPr>
          <w:rFonts w:hint="eastAsia" w:ascii="Times New Roman" w:hAnsi="Times New Roman" w:eastAsia="方正仿宋_GBK" w:cs="Times New Roman"/>
          <w:color w:val="000000" w:themeColor="text1"/>
          <w:sz w:val="32"/>
          <w:szCs w:val="32"/>
          <w14:textFill>
            <w14:solidFill>
              <w14:schemeClr w14:val="tx1"/>
            </w14:solidFill>
          </w14:textFill>
        </w:rPr>
        <w:t>”录入评审材料相关内容：</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（1）申报人学历、任职资格、聘任等基本情况。</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设病床的临床科室申报人员填写论文、病案基本信息，同时上传《主持危急重症抢救和疑难病症处理或主刀（指导）手术病例一览表》；不设病床的临床科室、药护技、公卫等申报人员填写专题基本信息，同时上传所有专题的《原始资料一览表》（EXCEL格式）。</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申报人员提交的学术论文须在“万方数据资源系统”（网址：http://www.wanfangdata.com.cn/index.html）或“清华同方中国知网”（网址：http://www.cnki.net）网站进行检索，下载PDF格式文件的论文予以上传，提交的论著、综述、专题上传WORD格式文件，同时上传《原始资料一览表》。</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其中论文命名格式：“篇名_作者_发表日期”，此处下划线必须为半角符号的下划线！，将输入法选择英文模式下，同时按住shift+键盘上下划线键。注意：“发表日期”的格式为“20180101”或“201801”，当只输入“年月”格式时，系统自动提取发表日期为该月前一天，例如“201901”则提取的发表日期为“20181231”。“发表日期”格式若填写错误，不能提取“发表日期”以及“发表日期”后的信息。</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2.综述、专题、护理案例等申报材料需进行学术相似性检测，总结近几年标准实施情况和各方反馈要求，学术相似性检测复制比标准调整为单篇的相似性检测结果不得超过40%，两篇的相似性检测结果不得同时超过30%。检测工作将根据个人按申报系统要求上传的网站链接或电子版，统一委托检测机构采用中国知网“学术不端文献检测系统”进行检测，最终检测结果直接送交评审组织机构。今年暂对申报人员不收取检测费用。</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14:textFill>
            <w14:solidFill>
              <w14:schemeClr w14:val="tx1"/>
            </w14:solidFill>
          </w14:textFill>
        </w:rPr>
        <w:t>3.《50例一览表》、综述、论文、专题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14:textFill>
            <w14:solidFill>
              <w14:schemeClr w14:val="tx1"/>
            </w14:solidFill>
          </w14:textFill>
        </w:rPr>
        <w:t>申报材料的内容不得重复，论文、专题所附原始资料、《50例一览表》和其他成果代表作等各项内容所提交的原始病案不得重复。50例一览表》、论文、专题等申报材料所提交的原始病案或原始资料须由所在单位人事、病案、纪检部门的签章证明，并附有申报者本人的签字。</w:t>
      </w:r>
    </w:p>
    <w:p>
      <w:pPr>
        <w:keepNext w:val="0"/>
        <w:keepLines w:val="0"/>
        <w:pageBreakBefore w:val="0"/>
        <w:widowControl/>
        <w:kinsoku/>
        <w:wordWrap/>
        <w:overflowPunct/>
        <w:topLinePunct w:val="0"/>
        <w:autoSpaceDE/>
        <w:autoSpaceDN/>
        <w:bidi w:val="0"/>
        <w:snapToGrid/>
        <w:spacing w:beforeAutospacing="0" w:afterAutospacing="0" w:line="600" w:lineRule="exact"/>
        <w:ind w:firstLine="640" w:firstLineChars="200"/>
        <w:jc w:val="left"/>
        <w:textAlignment w:val="auto"/>
        <w:rPr>
          <w:rFonts w:hint="default" w:ascii="Times New Roman" w:hAnsi="Times New Roman" w:eastAsia="方正仿宋_GBK" w:cs="Times New Roman"/>
          <w:b/>
          <w:bCs/>
          <w:color w:val="000000" w:themeColor="text1"/>
          <w:kern w:val="0"/>
          <w:sz w:val="32"/>
          <w:szCs w:val="32"/>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14:textFill>
            <w14:solidFill>
              <w14:schemeClr w14:val="tx1"/>
            </w14:solidFill>
          </w14:textFill>
        </w:rPr>
        <w:t>.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全部申报评审材料必须一次性提交（过后不得补充和更换）。</w:t>
      </w:r>
      <w:r>
        <w:rPr>
          <w:rFonts w:hint="default" w:ascii="Times New Roman" w:hAnsi="Times New Roman" w:eastAsia="方正仿宋_GBK" w:cs="Times New Roman"/>
          <w:b/>
          <w:bCs/>
          <w:color w:val="000000" w:themeColor="text1"/>
          <w:kern w:val="0"/>
          <w:sz w:val="32"/>
          <w:szCs w:val="32"/>
          <w14:textFill>
            <w14:solidFill>
              <w14:schemeClr w14:val="tx1"/>
            </w14:solidFill>
          </w14:textFill>
        </w:rPr>
        <w:t>凡未如实申报和弄虚作假的、一经发现并核实，取消当年申报（或评审通过）的资格，</w:t>
      </w:r>
      <w:r>
        <w:rPr>
          <w:rFonts w:hint="default" w:ascii="Times New Roman" w:hAnsi="Times New Roman" w:eastAsia="方正仿宋_GBK" w:cs="Times New Roman"/>
          <w:b/>
          <w:bCs/>
          <w:color w:val="000000" w:themeColor="text1"/>
          <w:kern w:val="0"/>
          <w:sz w:val="32"/>
          <w:szCs w:val="32"/>
          <w:highlight w:val="none"/>
          <w14:textFill>
            <w14:solidFill>
              <w14:schemeClr w14:val="tx1"/>
            </w14:solidFill>
          </w14:textFill>
        </w:rPr>
        <w:t>3年内不得申报，记入专业技术资格申报评审诚信档案，视情形在全</w:t>
      </w:r>
      <w:r>
        <w:rPr>
          <w:rFonts w:hint="default" w:ascii="Times New Roman" w:hAnsi="Times New Roman" w:eastAsia="方正仿宋_GBK" w:cs="Times New Roman"/>
          <w:b/>
          <w:bCs/>
          <w:color w:val="000000" w:themeColor="text1"/>
          <w:kern w:val="0"/>
          <w:sz w:val="32"/>
          <w:szCs w:val="32"/>
          <w:highlight w:val="none"/>
          <w:lang w:eastAsia="zh-CN"/>
          <w14:textFill>
            <w14:solidFill>
              <w14:schemeClr w14:val="tx1"/>
            </w14:solidFill>
          </w14:textFill>
        </w:rPr>
        <w:t>市</w:t>
      </w:r>
      <w:r>
        <w:rPr>
          <w:rFonts w:hint="default" w:ascii="Times New Roman" w:hAnsi="Times New Roman" w:eastAsia="方正仿宋_GBK" w:cs="Times New Roman"/>
          <w:b/>
          <w:bCs/>
          <w:color w:val="000000" w:themeColor="text1"/>
          <w:kern w:val="0"/>
          <w:sz w:val="32"/>
          <w:szCs w:val="32"/>
          <w:highlight w:val="none"/>
          <w14:textFill>
            <w14:solidFill>
              <w14:schemeClr w14:val="tx1"/>
            </w14:solidFill>
          </w14:textFill>
        </w:rPr>
        <w:t>范围内进行通报批评</w:t>
      </w:r>
      <w:r>
        <w:rPr>
          <w:rFonts w:hint="default" w:ascii="Times New Roman" w:hAnsi="Times New Roman" w:eastAsia="方正仿宋_GBK" w:cs="Times New Roman"/>
          <w:b/>
          <w:bCs/>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方正仿宋_GBK" w:cs="Times New Roman"/>
          <w:b/>
          <w:bCs/>
          <w:color w:val="000000" w:themeColor="text1"/>
          <w:kern w:val="0"/>
          <w:sz w:val="32"/>
          <w:szCs w:val="32"/>
          <w:highlight w:val="none"/>
          <w14:textFill>
            <w14:solidFill>
              <w14:schemeClr w14:val="tx1"/>
            </w14:solidFill>
          </w14:textFill>
        </w:rPr>
        <w:t>并</w:t>
      </w:r>
      <w:r>
        <w:rPr>
          <w:rFonts w:hint="default" w:ascii="Times New Roman" w:hAnsi="Times New Roman" w:eastAsia="方正仿宋_GBK" w:cs="Times New Roman"/>
          <w:b/>
          <w:bCs/>
          <w:color w:val="000000" w:themeColor="text1"/>
          <w:kern w:val="0"/>
          <w:sz w:val="32"/>
          <w:szCs w:val="32"/>
          <w14:textFill>
            <w14:solidFill>
              <w14:schemeClr w14:val="tx1"/>
            </w14:solidFill>
          </w14:textFill>
        </w:rPr>
        <w:t>提请有关部门严肃处理。</w:t>
      </w:r>
    </w:p>
    <w:p>
      <w:pPr>
        <w:keepNext w:val="0"/>
        <w:keepLines w:val="0"/>
        <w:pageBreakBefore w:val="0"/>
        <w:widowControl/>
        <w:kinsoku/>
        <w:wordWrap/>
        <w:overflowPunct/>
        <w:topLinePunct w:val="0"/>
        <w:autoSpaceDE/>
        <w:autoSpaceDN/>
        <w:bidi w:val="0"/>
        <w:snapToGrid/>
        <w:spacing w:beforeAutospacing="0" w:afterAutospacing="0" w:line="600" w:lineRule="exact"/>
        <w:ind w:firstLine="560" w:firstLineChars="200"/>
        <w:jc w:val="left"/>
        <w:textAlignment w:val="auto"/>
        <w:rPr>
          <w:rFonts w:hint="eastAsia" w:ascii="仿宋_GB2312" w:hAnsi="宋体" w:eastAsia="仿宋_GB2312" w:cs="宋体"/>
          <w:color w:val="000000" w:themeColor="text1"/>
          <w:kern w:val="0"/>
          <w:sz w:val="28"/>
          <w:szCs w:val="28"/>
          <w14:textFill>
            <w14:solidFill>
              <w14:schemeClr w14:val="tx1"/>
            </w14:solidFill>
          </w14:textFill>
        </w:rPr>
      </w:pPr>
    </w:p>
    <w:sectPr>
      <w:footerReference r:id="rId3" w:type="default"/>
      <w:pgSz w:w="11906" w:h="16838"/>
      <w:pgMar w:top="1984" w:right="1474" w:bottom="1417" w:left="1474" w:header="851"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D7C25"/>
    <w:rsid w:val="02AF6665"/>
    <w:rsid w:val="100F5DC3"/>
    <w:rsid w:val="12504B4E"/>
    <w:rsid w:val="14212D84"/>
    <w:rsid w:val="1C4D7C25"/>
    <w:rsid w:val="1E6C2AE0"/>
    <w:rsid w:val="2D2819B8"/>
    <w:rsid w:val="2DA53BAF"/>
    <w:rsid w:val="2FFA3809"/>
    <w:rsid w:val="30AB3BD4"/>
    <w:rsid w:val="356D6D7B"/>
    <w:rsid w:val="39050B9C"/>
    <w:rsid w:val="3A3FFE91"/>
    <w:rsid w:val="3B32219B"/>
    <w:rsid w:val="3BFF1657"/>
    <w:rsid w:val="3FB7EB52"/>
    <w:rsid w:val="3FEE99B4"/>
    <w:rsid w:val="3FFE1819"/>
    <w:rsid w:val="40E5073B"/>
    <w:rsid w:val="43D10BF2"/>
    <w:rsid w:val="43FF2E3E"/>
    <w:rsid w:val="47FF7931"/>
    <w:rsid w:val="4BFDF803"/>
    <w:rsid w:val="534ED526"/>
    <w:rsid w:val="55AE6C8D"/>
    <w:rsid w:val="56FFF411"/>
    <w:rsid w:val="596423F8"/>
    <w:rsid w:val="5BF75A65"/>
    <w:rsid w:val="5EFE6108"/>
    <w:rsid w:val="5FFFCCC7"/>
    <w:rsid w:val="62B95C6D"/>
    <w:rsid w:val="67FF73F2"/>
    <w:rsid w:val="696A7595"/>
    <w:rsid w:val="6B7B19B6"/>
    <w:rsid w:val="6BE9613F"/>
    <w:rsid w:val="6EBB2ADD"/>
    <w:rsid w:val="6F766E6C"/>
    <w:rsid w:val="6FFBD2B7"/>
    <w:rsid w:val="77E8350B"/>
    <w:rsid w:val="77FF3DB3"/>
    <w:rsid w:val="7DFE75E4"/>
    <w:rsid w:val="7F2E6013"/>
    <w:rsid w:val="7F676051"/>
    <w:rsid w:val="7FB459F8"/>
    <w:rsid w:val="7FF5C994"/>
    <w:rsid w:val="8C3BDE3A"/>
    <w:rsid w:val="97FEAA97"/>
    <w:rsid w:val="AFB7D3CB"/>
    <w:rsid w:val="BB55212E"/>
    <w:rsid w:val="BBCB060D"/>
    <w:rsid w:val="BEFE3E55"/>
    <w:rsid w:val="BF9F060C"/>
    <w:rsid w:val="BFD18010"/>
    <w:rsid w:val="BFD3E1C8"/>
    <w:rsid w:val="BFDFC617"/>
    <w:rsid w:val="C7FBE034"/>
    <w:rsid w:val="DFF7827C"/>
    <w:rsid w:val="E7FFEDD0"/>
    <w:rsid w:val="EDDDDA58"/>
    <w:rsid w:val="EF3F0C64"/>
    <w:rsid w:val="EFF7C5D3"/>
    <w:rsid w:val="F17F24B0"/>
    <w:rsid w:val="FB336BEE"/>
    <w:rsid w:val="FBBD2CA5"/>
    <w:rsid w:val="FBCB4AF1"/>
    <w:rsid w:val="FBEF13DA"/>
    <w:rsid w:val="FBFF2028"/>
    <w:rsid w:val="FC5BCCB4"/>
    <w:rsid w:val="FD797356"/>
    <w:rsid w:val="FD8D1599"/>
    <w:rsid w:val="FDFE0286"/>
    <w:rsid w:val="FEBB7858"/>
    <w:rsid w:val="FFFCC32A"/>
    <w:rsid w:val="FFFCD4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772</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2021-09-29T19:36:00Z</dcterms:created>
  <dc:creator>格物穷理</dc:creator>
  <cp:lastModifiedBy>greatwall</cp:lastModifiedBy>
  <cp:lastPrinted>2024-10-22T09:16:00Z</cp:lastPrinted>
  <dcterms:modified xsi:type="dcterms:W3CDTF">2024-10-22T10:49:28Z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E086FE01701246F69B876C8C65BA03F2</vt:lpwstr>
  </property>
</Properties>
</file>