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overflowPunct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张家界市人民医院2023年公开引进急需紧缺人才职位计划表</w:t>
      </w:r>
    </w:p>
    <w:tbl>
      <w:tblPr>
        <w:tblStyle w:val="5"/>
        <w:tblW w:w="14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301"/>
        <w:gridCol w:w="749"/>
        <w:gridCol w:w="614"/>
        <w:gridCol w:w="586"/>
        <w:gridCol w:w="873"/>
        <w:gridCol w:w="1091"/>
        <w:gridCol w:w="1950"/>
        <w:gridCol w:w="900"/>
        <w:gridCol w:w="1868"/>
        <w:gridCol w:w="1117"/>
        <w:gridCol w:w="872"/>
        <w:gridCol w:w="1488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引进单位名称</w:t>
            </w:r>
          </w:p>
        </w:tc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引进计划</w:t>
            </w:r>
          </w:p>
        </w:tc>
        <w:tc>
          <w:tcPr>
            <w:tcW w:w="66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引进对象报名要求</w:t>
            </w:r>
          </w:p>
        </w:tc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引进单位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待遇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引进单位联系方式</w:t>
            </w:r>
          </w:p>
        </w:tc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6"/>
                <w:kern w:val="0"/>
                <w:sz w:val="22"/>
                <w:lang w:val="e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最低学历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学位要求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市卫健委所属事业单位市人民医院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呼吸内科医生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30周岁以下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内科学、急诊医学、临床医学硕士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医师及以上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呼吸内科或急诊、重症方向，具有相应专业执业资格、规培证，</w:t>
            </w: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中级职称者年龄可放宽至35</w:t>
            </w: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default" w:ascii="Times New Roman" w:hAnsi="Times New Roman" w:eastAsia="宋体" w:cs="Times New Roman"/>
                <w:bCs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岁以下。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人才引进待遇按《张家界市人才引进实施办法》等有关规定执行</w:t>
            </w: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邓晓莉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0744-8231645</w:t>
            </w:r>
          </w:p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pacing w:val="-6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    计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jc w:val="center"/>
              <w:rPr>
                <w:rFonts w:hint="default" w:ascii="Times New Roman" w:hAnsi="Times New Roman" w:cs="Times New Roman"/>
                <w:b/>
                <w:color w:val="000000" w:themeColor="text1"/>
                <w:spacing w:val="-1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TFmOTk0YzZjYzBmN2E1MTM0MzM3ZDEwN2EyNGUifQ=="/>
  </w:docVars>
  <w:rsids>
    <w:rsidRoot w:val="00000000"/>
    <w:rsid w:val="7D62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2023-11-22T00:19:07Z</dcterms:created>
  <dc:creator>Administrator</dc:creator>
  <cp:lastModifiedBy>夏强</cp:lastModifiedBy>
  <dcterms:modified xsi:type="dcterms:W3CDTF">2023-11-22T00:19:45Z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5723290BAB674109BE9877B88B771FA8_12</vt:lpwstr>
  </property>
</Properties>
</file>