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医学教育网主管护师：《答疑周刊》2024年第14期</w:t>
      </w:r>
    </w:p>
    <w:p>
      <w:pPr>
        <w:ind w:firstLine="482" w:firstLineChars="2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问题索引：</w:t>
      </w:r>
    </w:p>
    <w:p>
      <w:pPr>
        <w:ind w:firstLine="482" w:firstLineChars="20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1.【问题】左心衰竭和右心衰竭的区别是什么？</w:t>
      </w:r>
    </w:p>
    <w:p>
      <w:pPr>
        <w:ind w:firstLine="482" w:firstLineChars="2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2.【问题】胎儿不同时段发育特征？</w:t>
      </w:r>
    </w:p>
    <w:p>
      <w:pPr>
        <w:ind w:firstLine="482" w:firstLineChars="2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3</w:t>
      </w:r>
      <w:r>
        <w:rPr>
          <w:rFonts w:hint="eastAsia" w:ascii="宋体" w:hAnsi="宋体"/>
          <w:b/>
          <w:sz w:val="24"/>
        </w:rPr>
        <w:t>.【问题】</w:t>
      </w:r>
      <w:r>
        <w:rPr>
          <w:rFonts w:ascii="宋体" w:hAnsi="宋体"/>
          <w:b/>
          <w:sz w:val="24"/>
        </w:rPr>
        <w:t>抑制胃酸药物有哪些</w:t>
      </w:r>
      <w:r>
        <w:rPr>
          <w:rFonts w:hint="eastAsia" w:ascii="宋体" w:hAnsi="宋体"/>
          <w:b/>
          <w:sz w:val="24"/>
        </w:rPr>
        <w:t>？</w:t>
      </w:r>
    </w:p>
    <w:p>
      <w:pPr>
        <w:ind w:firstLine="482" w:firstLineChars="200"/>
        <w:rPr>
          <w:rFonts w:ascii="宋体" w:hAnsi="宋体"/>
          <w:b/>
          <w:sz w:val="24"/>
        </w:rPr>
      </w:pPr>
    </w:p>
    <w:p>
      <w:pPr>
        <w:ind w:firstLine="482" w:firstLineChars="2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具体解答：</w:t>
      </w:r>
    </w:p>
    <w:p>
      <w:pPr>
        <w:ind w:firstLine="482" w:firstLineChars="20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1.【问题】左心衰竭和右心衰竭的区别是什么？</w:t>
      </w:r>
    </w:p>
    <w:p>
      <w:pPr>
        <w:ind w:firstLine="482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sz w:val="24"/>
        </w:rPr>
        <w:t>【解答】</w:t>
      </w:r>
      <w:r>
        <w:rPr>
          <w:rFonts w:hint="eastAsia" w:ascii="宋体" w:hAnsi="宋体"/>
          <w:sz w:val="24"/>
        </w:rPr>
        <w:t>可以简记为左肺右体。</w:t>
      </w:r>
    </w:p>
    <w:p>
      <w:pPr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（1）左心衰竭主要表现为肺循环淤血，主要特征为：</w:t>
      </w:r>
    </w:p>
    <w:p>
      <w:pPr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①呼吸困难：最早出现的是劳力性呼吸困难，经休息后缓解；最典型的是阵发性夜间呼吸困难，严重者可发生急性肺水肿；晚期出现端坐呼吸。</w:t>
      </w:r>
    </w:p>
    <w:p>
      <w:pPr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②咳嗽、咳痰、咯血：咳嗽、咳痰早期即可出现，多发生在夜间，坐、立位可减轻。痰液特点为白色泡沫样，如发生急性肺水肿，则咳大量粉红色泡沫痰，为肺泡和支气管淤血所致。</w:t>
      </w:r>
    </w:p>
    <w:p>
      <w:pPr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③其他症状：由于心排出量降低，出现倦怠、乏力、头昏、失眠、嗜睡、烦躁等症状，重者可有少尿。</w:t>
      </w:r>
    </w:p>
    <w:p>
      <w:pPr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④体征：心率加快、第一心音减弱、心尖区舒张期奔马律，部分病人可出现交替脉，是左心衰竭的特征性体征。肺部可闻湿啰音，急性肺水肿时可出现哮鸣音。慢性左心衰竭可有心脏扩大。</w:t>
      </w:r>
    </w:p>
    <w:p>
      <w:pPr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（2）右心衰竭主要表现为体循环静脉淤血，其症状以食欲缺乏、恶心呕吐、水肿、腹胀、少尿、肝区胀痛等为特征。体征：</w:t>
      </w:r>
    </w:p>
    <w:p>
      <w:pPr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①水肿：早期在身体的下垂部位和组织疏松部位，出现凹陷性水肿。重者可出现全身水肿，并伴有胸腔积液、腹水和阴囊水肿。</w:t>
      </w:r>
    </w:p>
    <w:p>
      <w:pPr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②颈静脉怒张和肝颈静脉回流征阳性：右心衰竭可见颈静脉怒张，其程度与静脉压升高的程度呈正相关；压迫病人的腹部或肝脏，可见颈静脉怒张更明显，称为肝颈静脉回流征阳性。</w:t>
      </w:r>
    </w:p>
    <w:p>
      <w:pPr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③肝大和肝压痛：可出现肝大和压痛；持续慢性右心衰竭者，可发展为心源性肝硬化，此时肝脏压痛不明显，肝颈静脉回流征不明显，伴有黄疸和肝功能损害。</w:t>
      </w:r>
    </w:p>
    <w:p>
      <w:pPr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④发绀：由于体循环静脉淤血，血流缓慢，血液中还原血红蛋白增多所致。</w:t>
      </w:r>
    </w:p>
    <w:p>
      <w:pPr>
        <w:ind w:firstLine="480" w:firstLineChars="200"/>
        <w:rPr>
          <w:rFonts w:ascii="宋体" w:hAnsi="宋体"/>
          <w:sz w:val="24"/>
        </w:rPr>
      </w:pPr>
    </w:p>
    <w:p>
      <w:pPr>
        <w:ind w:firstLine="482" w:firstLineChars="20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2.【问题】胎儿不同时段发育特征？</w:t>
      </w:r>
    </w:p>
    <w:p>
      <w:pPr>
        <w:ind w:firstLine="482" w:firstLineChars="2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【解答】</w:t>
      </w:r>
    </w:p>
    <w:tbl>
      <w:tblPr>
        <w:tblStyle w:val="8"/>
        <w:tblW w:w="5000" w:type="pct"/>
        <w:tblInd w:w="0" w:type="dxa"/>
        <w:tblBorders>
          <w:top w:val="single" w:color="008000" w:sz="4" w:space="0"/>
          <w:left w:val="single" w:color="008000" w:sz="4" w:space="0"/>
          <w:bottom w:val="single" w:color="008000" w:sz="4" w:space="0"/>
          <w:right w:val="single" w:color="008000" w:sz="4" w:space="0"/>
          <w:insideH w:val="single" w:color="008000" w:sz="4" w:space="0"/>
          <w:insideV w:val="single" w:color="008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570"/>
      </w:tblGrid>
      <w:tr>
        <w:tblPrEx>
          <w:tblBorders>
            <w:top w:val="single" w:color="008000" w:sz="4" w:space="0"/>
            <w:left w:val="single" w:color="008000" w:sz="4" w:space="0"/>
            <w:bottom w:val="single" w:color="008000" w:sz="4" w:space="0"/>
            <w:right w:val="single" w:color="008000" w:sz="4" w:space="0"/>
            <w:insideH w:val="single" w:color="008000" w:sz="4" w:space="0"/>
            <w:insideV w:val="single" w:color="008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pct"/>
          </w:tcPr>
          <w:p>
            <w:pPr>
              <w:rPr>
                <w:rFonts w:ascii="宋体" w:hAnsi="宋体" w:eastAsia="宋体" w:cs="宋体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8周末</w:t>
            </w:r>
          </w:p>
        </w:tc>
        <w:tc>
          <w:tcPr>
            <w:tcW w:w="3855" w:type="pct"/>
          </w:tcPr>
          <w:p>
            <w:pPr>
              <w:rPr>
                <w:rFonts w:ascii="宋体" w:hAnsi="宋体" w:eastAsia="宋体" w:cs="宋体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初具人形，B超可见早期胎心搏动</w:t>
            </w:r>
          </w:p>
        </w:tc>
      </w:tr>
      <w:tr>
        <w:tblPrEx>
          <w:tblBorders>
            <w:top w:val="single" w:color="008000" w:sz="4" w:space="0"/>
            <w:left w:val="single" w:color="008000" w:sz="4" w:space="0"/>
            <w:bottom w:val="single" w:color="008000" w:sz="4" w:space="0"/>
            <w:right w:val="single" w:color="008000" w:sz="4" w:space="0"/>
            <w:insideH w:val="single" w:color="008000" w:sz="4" w:space="0"/>
            <w:insideV w:val="single" w:color="008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pct"/>
          </w:tcPr>
          <w:p>
            <w:pPr>
              <w:rPr>
                <w:rFonts w:ascii="宋体" w:hAnsi="宋体" w:eastAsia="宋体" w:cs="宋体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12周末</w:t>
            </w:r>
          </w:p>
        </w:tc>
        <w:tc>
          <w:tcPr>
            <w:tcW w:w="3855" w:type="pct"/>
          </w:tcPr>
          <w:p>
            <w:pPr>
              <w:rPr>
                <w:rFonts w:ascii="宋体" w:hAnsi="宋体" w:eastAsia="宋体" w:cs="宋体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外生殖器已发育、肠管已蠕动</w:t>
            </w:r>
          </w:p>
        </w:tc>
      </w:tr>
      <w:tr>
        <w:tblPrEx>
          <w:tblBorders>
            <w:top w:val="single" w:color="008000" w:sz="4" w:space="0"/>
            <w:left w:val="single" w:color="008000" w:sz="4" w:space="0"/>
            <w:bottom w:val="single" w:color="008000" w:sz="4" w:space="0"/>
            <w:right w:val="single" w:color="008000" w:sz="4" w:space="0"/>
            <w:insideH w:val="single" w:color="008000" w:sz="4" w:space="0"/>
            <w:insideV w:val="single" w:color="008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pct"/>
          </w:tcPr>
          <w:p>
            <w:pPr>
              <w:rPr>
                <w:rFonts w:ascii="宋体" w:hAnsi="宋体" w:eastAsia="宋体" w:cs="宋体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16周末</w:t>
            </w:r>
          </w:p>
        </w:tc>
        <w:tc>
          <w:tcPr>
            <w:tcW w:w="3855" w:type="pct"/>
          </w:tcPr>
          <w:p>
            <w:pPr>
              <w:rPr>
                <w:rFonts w:ascii="宋体" w:hAnsi="宋体" w:eastAsia="宋体" w:cs="宋体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从外生殖器可确定胎儿性别，孕妇自觉有胎动</w:t>
            </w:r>
          </w:p>
        </w:tc>
      </w:tr>
      <w:tr>
        <w:tblPrEx>
          <w:tblBorders>
            <w:top w:val="single" w:color="008000" w:sz="4" w:space="0"/>
            <w:left w:val="single" w:color="008000" w:sz="4" w:space="0"/>
            <w:bottom w:val="single" w:color="008000" w:sz="4" w:space="0"/>
            <w:right w:val="single" w:color="008000" w:sz="4" w:space="0"/>
            <w:insideH w:val="single" w:color="008000" w:sz="4" w:space="0"/>
            <w:insideV w:val="single" w:color="008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pct"/>
          </w:tcPr>
          <w:p>
            <w:pPr>
              <w:rPr>
                <w:rFonts w:ascii="宋体" w:hAnsi="宋体" w:eastAsia="宋体" w:cs="宋体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20周末</w:t>
            </w:r>
          </w:p>
        </w:tc>
        <w:tc>
          <w:tcPr>
            <w:tcW w:w="3855" w:type="pct"/>
          </w:tcPr>
          <w:p>
            <w:pPr>
              <w:rPr>
                <w:rFonts w:ascii="宋体" w:hAnsi="宋体" w:eastAsia="宋体" w:cs="宋体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用听诊器可听到胎心音</w:t>
            </w:r>
          </w:p>
        </w:tc>
      </w:tr>
      <w:tr>
        <w:tblPrEx>
          <w:tblBorders>
            <w:top w:val="single" w:color="008000" w:sz="4" w:space="0"/>
            <w:left w:val="single" w:color="008000" w:sz="4" w:space="0"/>
            <w:bottom w:val="single" w:color="008000" w:sz="4" w:space="0"/>
            <w:right w:val="single" w:color="008000" w:sz="4" w:space="0"/>
            <w:insideH w:val="single" w:color="008000" w:sz="4" w:space="0"/>
            <w:insideV w:val="single" w:color="008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pct"/>
          </w:tcPr>
          <w:p>
            <w:pPr>
              <w:rPr>
                <w:rFonts w:ascii="宋体" w:hAnsi="宋体" w:eastAsia="宋体" w:cs="宋体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24周末</w:t>
            </w:r>
          </w:p>
        </w:tc>
        <w:tc>
          <w:tcPr>
            <w:tcW w:w="3855" w:type="pct"/>
          </w:tcPr>
          <w:p>
            <w:pPr>
              <w:rPr>
                <w:rFonts w:ascii="宋体" w:hAnsi="宋体" w:eastAsia="宋体" w:cs="宋体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各器官均已发育，皮下脂肪开始沉积</w:t>
            </w:r>
          </w:p>
        </w:tc>
      </w:tr>
      <w:tr>
        <w:tblPrEx>
          <w:tblBorders>
            <w:top w:val="single" w:color="008000" w:sz="4" w:space="0"/>
            <w:left w:val="single" w:color="008000" w:sz="4" w:space="0"/>
            <w:bottom w:val="single" w:color="008000" w:sz="4" w:space="0"/>
            <w:right w:val="single" w:color="008000" w:sz="4" w:space="0"/>
            <w:insideH w:val="single" w:color="008000" w:sz="4" w:space="0"/>
            <w:insideV w:val="single" w:color="008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pct"/>
          </w:tcPr>
          <w:p>
            <w:pPr>
              <w:rPr>
                <w:rFonts w:ascii="宋体" w:hAnsi="宋体" w:eastAsia="宋体" w:cs="宋体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28周末</w:t>
            </w:r>
          </w:p>
        </w:tc>
        <w:tc>
          <w:tcPr>
            <w:tcW w:w="3855" w:type="pct"/>
          </w:tcPr>
          <w:p>
            <w:pPr>
              <w:rPr>
                <w:rFonts w:ascii="宋体" w:hAnsi="宋体" w:eastAsia="宋体" w:cs="宋体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有呼吸运动，生活力差，但加强护理可以存活</w:t>
            </w:r>
          </w:p>
        </w:tc>
      </w:tr>
      <w:tr>
        <w:tblPrEx>
          <w:tblBorders>
            <w:top w:val="single" w:color="008000" w:sz="4" w:space="0"/>
            <w:left w:val="single" w:color="008000" w:sz="4" w:space="0"/>
            <w:bottom w:val="single" w:color="008000" w:sz="4" w:space="0"/>
            <w:right w:val="single" w:color="008000" w:sz="4" w:space="0"/>
            <w:insideH w:val="single" w:color="008000" w:sz="4" w:space="0"/>
            <w:insideV w:val="single" w:color="008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pct"/>
          </w:tcPr>
          <w:p>
            <w:pPr>
              <w:rPr>
                <w:rFonts w:ascii="宋体" w:hAnsi="宋体" w:eastAsia="宋体" w:cs="宋体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32周末</w:t>
            </w:r>
          </w:p>
        </w:tc>
        <w:tc>
          <w:tcPr>
            <w:tcW w:w="3855" w:type="pct"/>
          </w:tcPr>
          <w:p>
            <w:pPr>
              <w:rPr>
                <w:rFonts w:ascii="宋体" w:hAnsi="宋体" w:eastAsia="宋体" w:cs="宋体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面部毳毛已脱落，出生后有一定生活能力</w:t>
            </w:r>
          </w:p>
        </w:tc>
      </w:tr>
      <w:tr>
        <w:tblPrEx>
          <w:tblBorders>
            <w:top w:val="single" w:color="008000" w:sz="4" w:space="0"/>
            <w:left w:val="single" w:color="008000" w:sz="4" w:space="0"/>
            <w:bottom w:val="single" w:color="008000" w:sz="4" w:space="0"/>
            <w:right w:val="single" w:color="008000" w:sz="4" w:space="0"/>
            <w:insideH w:val="single" w:color="008000" w:sz="4" w:space="0"/>
            <w:insideV w:val="single" w:color="008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pct"/>
          </w:tcPr>
          <w:p>
            <w:pPr>
              <w:rPr>
                <w:rFonts w:ascii="宋体" w:hAnsi="宋体" w:eastAsia="宋体" w:cs="宋体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36周末</w:t>
            </w:r>
          </w:p>
        </w:tc>
        <w:tc>
          <w:tcPr>
            <w:tcW w:w="3855" w:type="pct"/>
          </w:tcPr>
          <w:p>
            <w:pPr>
              <w:rPr>
                <w:rFonts w:ascii="宋体" w:hAnsi="宋体" w:eastAsia="宋体" w:cs="宋体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出生后能啼哭和吸吮，生活能力较好</w:t>
            </w:r>
          </w:p>
        </w:tc>
      </w:tr>
      <w:tr>
        <w:tblPrEx>
          <w:tblBorders>
            <w:top w:val="single" w:color="008000" w:sz="4" w:space="0"/>
            <w:left w:val="single" w:color="008000" w:sz="4" w:space="0"/>
            <w:bottom w:val="single" w:color="008000" w:sz="4" w:space="0"/>
            <w:right w:val="single" w:color="008000" w:sz="4" w:space="0"/>
            <w:insideH w:val="single" w:color="008000" w:sz="4" w:space="0"/>
            <w:insideV w:val="single" w:color="008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pct"/>
          </w:tcPr>
          <w:p>
            <w:pPr>
              <w:rPr>
                <w:rFonts w:ascii="宋体" w:hAnsi="宋体" w:eastAsia="宋体" w:cs="宋体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40周末</w:t>
            </w:r>
          </w:p>
        </w:tc>
        <w:tc>
          <w:tcPr>
            <w:tcW w:w="3855" w:type="pct"/>
          </w:tcPr>
          <w:p>
            <w:pPr>
              <w:rPr>
                <w:rFonts w:ascii="宋体" w:hAnsi="宋体" w:eastAsia="宋体" w:cs="宋体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胎儿成熟，身长约50厘米，体重约3400克，生活能力强</w:t>
            </w:r>
          </w:p>
        </w:tc>
      </w:tr>
    </w:tbl>
    <w:p>
      <w:pPr>
        <w:ind w:firstLine="480" w:firstLineChars="200"/>
        <w:rPr>
          <w:rFonts w:ascii="宋体" w:hAnsi="宋体"/>
          <w:sz w:val="24"/>
        </w:rPr>
      </w:pPr>
    </w:p>
    <w:p>
      <w:pPr>
        <w:ind w:firstLine="482" w:firstLineChars="2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3</w:t>
      </w:r>
      <w:r>
        <w:rPr>
          <w:rFonts w:hint="eastAsia" w:ascii="宋体" w:hAnsi="宋体"/>
          <w:b/>
          <w:sz w:val="24"/>
        </w:rPr>
        <w:t>.【问题】</w:t>
      </w:r>
      <w:r>
        <w:rPr>
          <w:rFonts w:ascii="宋体" w:hAnsi="宋体"/>
          <w:b/>
          <w:sz w:val="24"/>
        </w:rPr>
        <w:t>抑制胃酸药物有哪些</w:t>
      </w:r>
      <w:r>
        <w:rPr>
          <w:rFonts w:hint="eastAsia" w:ascii="宋体" w:hAnsi="宋体"/>
          <w:b/>
          <w:sz w:val="24"/>
        </w:rPr>
        <w:t>？</w:t>
      </w:r>
    </w:p>
    <w:p>
      <w:pPr>
        <w:ind w:firstLine="482" w:firstLineChars="2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【解答】</w:t>
      </w:r>
    </w:p>
    <w:p>
      <w:pPr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（1）抗酸药：可直接中和胃酸，迅速缓解疼痛症状。常用药物有碳酸氢钠、碳酸钙、氢氧化铝等。</w:t>
      </w:r>
    </w:p>
    <w:p>
      <w:pPr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（2）H</w:t>
      </w:r>
      <w:r>
        <w:rPr>
          <w:rFonts w:ascii="宋体" w:hAnsi="宋体"/>
          <w:sz w:val="24"/>
          <w:vertAlign w:val="subscript"/>
        </w:rPr>
        <w:t>2</w:t>
      </w:r>
      <w:r>
        <w:rPr>
          <w:rFonts w:ascii="宋体" w:hAnsi="宋体"/>
          <w:sz w:val="24"/>
        </w:rPr>
        <w:t>受体拮抗剂：阻止组胺与H</w:t>
      </w:r>
      <w:r>
        <w:rPr>
          <w:rFonts w:ascii="宋体" w:hAnsi="宋体"/>
          <w:sz w:val="24"/>
          <w:vertAlign w:val="subscript"/>
        </w:rPr>
        <w:t>2</w:t>
      </w:r>
      <w:r>
        <w:rPr>
          <w:rFonts w:ascii="宋体" w:hAnsi="宋体"/>
          <w:sz w:val="24"/>
        </w:rPr>
        <w:t>受体结合，抑制胃酸分泌。常用药物有西咪替丁、雷尼替丁、法莫替丁</w:t>
      </w:r>
      <w:bookmarkStart w:id="0" w:name="_GoBack"/>
      <w:bookmarkEnd w:id="0"/>
      <w:r>
        <w:rPr>
          <w:rFonts w:ascii="宋体" w:hAnsi="宋体"/>
          <w:sz w:val="24"/>
        </w:rPr>
        <w:t>。</w:t>
      </w:r>
    </w:p>
    <w:p>
      <w:pPr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（3）质子泵抑制剂（H</w:t>
      </w:r>
      <w:r>
        <w:rPr>
          <w:rFonts w:hint="eastAsia" w:ascii="宋体" w:hAnsi="宋体"/>
          <w:sz w:val="24"/>
          <w:vertAlign w:val="superscript"/>
        </w:rPr>
        <w:t>+</w:t>
      </w:r>
      <w:r>
        <w:rPr>
          <w:rFonts w:ascii="宋体" w:hAnsi="宋体"/>
          <w:sz w:val="24"/>
        </w:rPr>
        <w:t>-K</w:t>
      </w:r>
      <w:r>
        <w:rPr>
          <w:rFonts w:hint="eastAsia" w:ascii="宋体" w:hAnsi="宋体"/>
          <w:sz w:val="24"/>
          <w:vertAlign w:val="superscript"/>
        </w:rPr>
        <w:t>+</w:t>
      </w:r>
      <w:r>
        <w:rPr>
          <w:rFonts w:hint="eastAsia" w:ascii="宋体" w:hAnsi="宋体"/>
          <w:sz w:val="24"/>
        </w:rPr>
        <w:t>-</w:t>
      </w:r>
      <w:r>
        <w:rPr>
          <w:rFonts w:ascii="宋体" w:hAnsi="宋体"/>
          <w:sz w:val="24"/>
        </w:rPr>
        <w:t>ATP酶抑制剂，PPI）</w:t>
      </w:r>
      <w:r>
        <w:rPr>
          <w:rFonts w:hint="eastAsia" w:ascii="宋体" w:hAnsi="宋体"/>
          <w:sz w:val="24"/>
        </w:rPr>
        <w:t>：是目前已知的抑制胃酸分泌最强的药物，这类药物作用于壁细胞胃酸分泌终末过程的关键酶</w:t>
      </w:r>
      <w:r>
        <w:rPr>
          <w:rFonts w:ascii="宋体" w:hAnsi="宋体"/>
          <w:sz w:val="24"/>
        </w:rPr>
        <w:t>H</w:t>
      </w:r>
      <w:r>
        <w:rPr>
          <w:rFonts w:hint="eastAsia" w:ascii="宋体" w:hAnsi="宋体"/>
          <w:sz w:val="24"/>
          <w:vertAlign w:val="superscript"/>
        </w:rPr>
        <w:t>+</w:t>
      </w:r>
      <w:r>
        <w:rPr>
          <w:rFonts w:ascii="宋体" w:hAnsi="宋体"/>
          <w:sz w:val="24"/>
        </w:rPr>
        <w:t>-K</w:t>
      </w:r>
      <w:r>
        <w:rPr>
          <w:rFonts w:hint="eastAsia" w:ascii="宋体" w:hAnsi="宋体"/>
          <w:sz w:val="24"/>
          <w:vertAlign w:val="superscript"/>
        </w:rPr>
        <w:t>+</w:t>
      </w:r>
      <w:r>
        <w:rPr>
          <w:rFonts w:hint="eastAsia" w:ascii="宋体" w:hAnsi="宋体"/>
          <w:sz w:val="24"/>
        </w:rPr>
        <w:t>-</w:t>
      </w:r>
      <w:r>
        <w:rPr>
          <w:rFonts w:ascii="宋体" w:hAnsi="宋体"/>
          <w:sz w:val="24"/>
        </w:rPr>
        <w:t>ATP酶，使其失去活性，并不可逆转。与H</w:t>
      </w:r>
      <w:r>
        <w:rPr>
          <w:rFonts w:ascii="宋体" w:hAnsi="宋体"/>
          <w:sz w:val="24"/>
          <w:vertAlign w:val="subscript"/>
        </w:rPr>
        <w:t>2</w:t>
      </w:r>
      <w:r>
        <w:rPr>
          <w:rFonts w:ascii="宋体" w:hAnsi="宋体"/>
          <w:sz w:val="24"/>
        </w:rPr>
        <w:t>受体拮抗剂相比PP</w:t>
      </w:r>
      <w:r>
        <w:rPr>
          <w:rFonts w:hint="eastAsia" w:ascii="宋体" w:hAnsi="宋体"/>
          <w:sz w:val="24"/>
        </w:rPr>
        <w:t>I</w:t>
      </w:r>
      <w:r>
        <w:rPr>
          <w:rFonts w:ascii="宋体" w:hAnsi="宋体"/>
          <w:sz w:val="24"/>
        </w:rPr>
        <w:t>促进溃疡愈合的速度快、溃疡愈合率较高，因此，特别适合NSAID溃疡病人不能停用NSAID时或难治性溃疡的治疗，PP</w:t>
      </w:r>
      <w:r>
        <w:rPr>
          <w:rFonts w:hint="eastAsia" w:ascii="宋体" w:hAnsi="宋体"/>
          <w:sz w:val="24"/>
        </w:rPr>
        <w:t>I</w:t>
      </w:r>
      <w:r>
        <w:rPr>
          <w:rFonts w:ascii="宋体" w:hAnsi="宋体"/>
          <w:sz w:val="24"/>
        </w:rPr>
        <w:t>是根除幽门螺杆菌基础药物。常用奥美拉唑（洛赛克）、兰索拉唑、泮托拉唑。</w:t>
      </w:r>
    </w:p>
    <w:p>
      <w:pPr>
        <w:ind w:firstLine="482" w:firstLineChars="200"/>
        <w:rPr>
          <w:rFonts w:ascii="宋体" w:hAnsi="宋体"/>
          <w:b/>
          <w:sz w:val="24"/>
        </w:rPr>
      </w:pPr>
    </w:p>
    <w:sectPr>
      <w:headerReference r:id="rId3" w:type="default"/>
      <w:pgSz w:w="11905" w:h="16837" w:orient="landscape"/>
      <w:pgMar w:top="1440" w:right="1800" w:bottom="1440" w:left="1800" w:header="850" w:footer="99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,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color w:val="0000FF"/>
      </w:rPr>
    </w:pPr>
    <w:sdt>
      <w:sdtPr>
        <w:rPr>
          <w:rFonts w:hint="eastAsia"/>
          <w:color w:val="0000FF"/>
        </w:rPr>
        <w:id w:val="21554573"/>
        <w:docPartObj>
          <w:docPartGallery w:val="AutoText"/>
        </w:docPartObj>
      </w:sdtPr>
      <w:sdtEndPr>
        <w:rPr>
          <w:rFonts w:hint="eastAsia"/>
          <w:color w:val="0000FF"/>
        </w:rPr>
      </w:sdtEndPr>
      <w:sdtContent>
        <w:r>
          <w:rPr>
            <w:rFonts w:ascii="宋体" w:hAnsi="宋体" w:eastAsia="宋体" w:cs="宋体"/>
            <w:sz w:val="24"/>
            <w:szCs w:val="24"/>
          </w:rPr>
          <w:drawing>
            <wp:inline distT="0" distB="0" distL="114300" distR="114300">
              <wp:extent cx="1590675" cy="419100"/>
              <wp:effectExtent l="0" t="0" r="9525" b="0"/>
              <wp:docPr id="4" name="图片 1" descr="IMG_25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图片 1" descr="IMG_256"/>
                      <pic:cNvPicPr>
                        <a:picLocks noChangeAspect="1"/>
                      </pic:cNvPicPr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590675" cy="4191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pic:spPr>
                  </pic:pic>
                </a:graphicData>
              </a:graphic>
            </wp:inline>
          </w:drawing>
        </w:r>
        <w:r>
          <w:rPr>
            <w:rFonts w:hint="eastAsia"/>
            <w:color w:val="0000FF"/>
          </w:rPr>
          <w:t xml:space="preserve">                                         免费咨询热线：4006501888</w:t>
        </w:r>
        <w:r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274310" cy="4549775"/>
              <wp:effectExtent l="0" t="0" r="2540" b="3175"/>
              <wp:wrapNone/>
              <wp:docPr id="5" name="WordPictureWatermark11609" descr="图层 1-透明度70%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" name="WordPictureWatermark11609" descr="图层 1-透明度70%"/>
                      <pic:cNvPicPr>
                        <a:picLocks noChangeAspect="1"/>
                      </pic:cNvPicPr>
                    </pic:nvPicPr>
                    <pic:blipFill>
                      <a:blip r:embed="rId2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274310" cy="4549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</w:sdtContent>
    </w:sdt>
    <w: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4310" cy="4549775"/>
          <wp:effectExtent l="0" t="0" r="2540" b="3175"/>
          <wp:wrapNone/>
          <wp:docPr id="13" name="WordPictureWatermark11609" descr="图层 1-透明度70%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WordPictureWatermark11609" descr="图层 1-透明度70%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4310" cy="4549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CA2"/>
    <w:rsid w:val="00036737"/>
    <w:rsid w:val="000B7CB1"/>
    <w:rsid w:val="000C5A1E"/>
    <w:rsid w:val="000D0964"/>
    <w:rsid w:val="0015423D"/>
    <w:rsid w:val="00154F07"/>
    <w:rsid w:val="001617F0"/>
    <w:rsid w:val="00164459"/>
    <w:rsid w:val="001963C7"/>
    <w:rsid w:val="001D75E1"/>
    <w:rsid w:val="001F5825"/>
    <w:rsid w:val="00241C28"/>
    <w:rsid w:val="0029393E"/>
    <w:rsid w:val="00325733"/>
    <w:rsid w:val="00380CD1"/>
    <w:rsid w:val="003A0581"/>
    <w:rsid w:val="0040225E"/>
    <w:rsid w:val="0055214D"/>
    <w:rsid w:val="005F66F7"/>
    <w:rsid w:val="006821E0"/>
    <w:rsid w:val="006C1F69"/>
    <w:rsid w:val="00714B02"/>
    <w:rsid w:val="0077031A"/>
    <w:rsid w:val="007A6E39"/>
    <w:rsid w:val="007B1E44"/>
    <w:rsid w:val="007B3B5A"/>
    <w:rsid w:val="007D6031"/>
    <w:rsid w:val="008B08C1"/>
    <w:rsid w:val="008D0FE0"/>
    <w:rsid w:val="009178F1"/>
    <w:rsid w:val="00957D9F"/>
    <w:rsid w:val="00980AA4"/>
    <w:rsid w:val="009F0408"/>
    <w:rsid w:val="009F382A"/>
    <w:rsid w:val="00A215F5"/>
    <w:rsid w:val="00A450DE"/>
    <w:rsid w:val="00A64073"/>
    <w:rsid w:val="00A8378C"/>
    <w:rsid w:val="00AA5D3A"/>
    <w:rsid w:val="00AE68E3"/>
    <w:rsid w:val="00B106B5"/>
    <w:rsid w:val="00BA2D95"/>
    <w:rsid w:val="00BB7B75"/>
    <w:rsid w:val="00BD62FB"/>
    <w:rsid w:val="00BE04EB"/>
    <w:rsid w:val="00C73F75"/>
    <w:rsid w:val="00C92FB1"/>
    <w:rsid w:val="00CC65C9"/>
    <w:rsid w:val="00D30607"/>
    <w:rsid w:val="00D47A9C"/>
    <w:rsid w:val="00D67968"/>
    <w:rsid w:val="00DB3310"/>
    <w:rsid w:val="00DB5067"/>
    <w:rsid w:val="00E10C6D"/>
    <w:rsid w:val="00EB5612"/>
    <w:rsid w:val="00ED3CA2"/>
    <w:rsid w:val="00F0573A"/>
    <w:rsid w:val="00F60F36"/>
    <w:rsid w:val="00F6493D"/>
    <w:rsid w:val="00F76414"/>
    <w:rsid w:val="00F868ED"/>
    <w:rsid w:val="00F94BE0"/>
    <w:rsid w:val="00FA10D4"/>
    <w:rsid w:val="00FB0022"/>
    <w:rsid w:val="00FE103E"/>
    <w:rsid w:val="45D34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nhideWhenUsed="0" w:uiPriority="99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line="360" w:lineRule="auto"/>
    </w:pPr>
    <w:rPr>
      <w:rFonts w:asciiTheme="minorHAnsi" w:hAnsiTheme="minorHAnsi" w:eastAsiaTheme="minorEastAsia" w:cstheme="minorBidi"/>
      <w:kern w:val="2"/>
      <w:sz w:val="21"/>
      <w:lang w:val="en-US" w:eastAsia="zh-CN" w:bidi="ar-SA"/>
    </w:rPr>
  </w:style>
  <w:style w:type="character" w:default="1" w:styleId="10">
    <w:name w:val="Default Paragraph Font"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4"/>
    <w:uiPriority w:val="0"/>
    <w:pPr>
      <w:spacing w:line="240" w:lineRule="auto"/>
    </w:pPr>
    <w:rPr>
      <w:rFonts w:ascii="Calibri" w:hAnsi="Calibri"/>
    </w:rPr>
  </w:style>
  <w:style w:type="paragraph" w:styleId="3">
    <w:name w:val="Balloon Text"/>
    <w:basedOn w:val="1"/>
    <w:uiPriority w:val="0"/>
    <w:pPr>
      <w:spacing w:line="240" w:lineRule="auto"/>
    </w:pPr>
    <w:rPr>
      <w:sz w:val="18"/>
    </w:rPr>
  </w:style>
  <w:style w:type="paragraph" w:styleId="4">
    <w:name w:val="footer"/>
    <w:basedOn w:val="1"/>
    <w:uiPriority w:val="0"/>
    <w:rPr>
      <w:sz w:val="18"/>
    </w:rPr>
  </w:style>
  <w:style w:type="paragraph" w:styleId="5">
    <w:name w:val="header"/>
    <w:basedOn w:val="1"/>
    <w:link w:val="23"/>
    <w:uiPriority w:val="99"/>
    <w:pPr>
      <w:pBdr>
        <w:bottom w:val="single" w:color="000000" w:sz="6" w:space="1"/>
      </w:pBdr>
      <w:jc w:val="center"/>
    </w:pPr>
    <w:rPr>
      <w:sz w:val="18"/>
    </w:rPr>
  </w:style>
  <w:style w:type="paragraph" w:styleId="6">
    <w:name w:val="Normal (Web)"/>
    <w:basedOn w:val="1"/>
    <w:uiPriority w:val="0"/>
    <w:pPr>
      <w:widowControl/>
      <w:spacing w:before="100" w:after="100"/>
    </w:pPr>
    <w:rPr>
      <w:rFonts w:ascii="Verdana,宋体" w:hAnsi="宋体" w:eastAsia="Verdana,宋体" w:cs="宋体"/>
      <w:color w:val="000000"/>
      <w:kern w:val="0"/>
      <w:sz w:val="18"/>
    </w:rPr>
  </w:style>
  <w:style w:type="paragraph" w:styleId="7">
    <w:name w:val="annotation subject"/>
    <w:basedOn w:val="2"/>
    <w:next w:val="2"/>
    <w:link w:val="25"/>
    <w:semiHidden/>
    <w:unhideWhenUsed/>
    <w:uiPriority w:val="99"/>
    <w:pPr>
      <w:spacing w:line="360" w:lineRule="auto"/>
    </w:pPr>
    <w:rPr>
      <w:rFonts w:asciiTheme="minorHAnsi" w:hAnsiTheme="minorHAnsi"/>
      <w:b/>
      <w:bCs/>
    </w:rPr>
  </w:style>
  <w:style w:type="table" w:styleId="9">
    <w:name w:val="Table Grid"/>
    <w:basedOn w:val="8"/>
    <w:uiPriority w:val="0"/>
    <w:tblPr>
      <w:tblBorders>
        <w:top w:val="single" w:color="008000" w:sz="4" w:space="0"/>
        <w:left w:val="single" w:color="008000" w:sz="4" w:space="0"/>
        <w:bottom w:val="single" w:color="008000" w:sz="4" w:space="0"/>
        <w:right w:val="single" w:color="008000" w:sz="4" w:space="0"/>
        <w:insideH w:val="single" w:color="008000" w:sz="4" w:space="0"/>
        <w:insideV w:val="single" w:color="008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uiPriority w:val="0"/>
    <w:rPr>
      <w:b/>
    </w:rPr>
  </w:style>
  <w:style w:type="character" w:styleId="12">
    <w:name w:val="page number"/>
    <w:basedOn w:val="10"/>
    <w:uiPriority w:val="0"/>
  </w:style>
  <w:style w:type="character" w:styleId="13">
    <w:name w:val="FollowedHyperlink"/>
    <w:uiPriority w:val="0"/>
    <w:rPr>
      <w:color w:val="800080"/>
      <w:u w:val="single"/>
    </w:rPr>
  </w:style>
  <w:style w:type="character" w:styleId="14">
    <w:name w:val="Emphasis"/>
    <w:uiPriority w:val="0"/>
    <w:rPr>
      <w:color w:val="CC0000"/>
    </w:rPr>
  </w:style>
  <w:style w:type="character" w:styleId="15">
    <w:name w:val="Hyperlink"/>
    <w:uiPriority w:val="0"/>
    <w:rPr>
      <w:color w:val="0000FF"/>
      <w:u w:val="single"/>
    </w:rPr>
  </w:style>
  <w:style w:type="character" w:styleId="16">
    <w:name w:val="annotation reference"/>
    <w:uiPriority w:val="0"/>
    <w:rPr>
      <w:sz w:val="21"/>
    </w:rPr>
  </w:style>
  <w:style w:type="character" w:customStyle="1" w:styleId="17">
    <w:name w:val="批注框文本 Char"/>
    <w:uiPriority w:val="0"/>
    <w:rPr>
      <w:kern w:val="2"/>
      <w:sz w:val="18"/>
    </w:rPr>
  </w:style>
  <w:style w:type="character" w:customStyle="1" w:styleId="18">
    <w:name w:val="批注文字 Char"/>
    <w:uiPriority w:val="0"/>
    <w:rPr>
      <w:rFonts w:ascii="Calibri" w:hAnsi="Calibri"/>
      <w:kern w:val="2"/>
      <w:sz w:val="21"/>
    </w:rPr>
  </w:style>
  <w:style w:type="paragraph" w:customStyle="1" w:styleId="19">
    <w:name w:val="duanluo"/>
    <w:basedOn w:val="1"/>
    <w:uiPriority w:val="0"/>
    <w:pPr>
      <w:widowControl/>
      <w:spacing w:before="100" w:after="100"/>
    </w:pPr>
    <w:rPr>
      <w:rFonts w:ascii="Verdana,宋体" w:hAnsi="宋体" w:eastAsia="Verdana,宋体" w:cs="宋体"/>
      <w:color w:val="000000"/>
      <w:kern w:val="0"/>
      <w:sz w:val="18"/>
    </w:rPr>
  </w:style>
  <w:style w:type="character" w:customStyle="1" w:styleId="20">
    <w:name w:val="f12"/>
    <w:basedOn w:val="10"/>
    <w:uiPriority w:val="0"/>
  </w:style>
  <w:style w:type="character" w:customStyle="1" w:styleId="21">
    <w:name w:val="f121"/>
    <w:uiPriority w:val="0"/>
    <w:rPr>
      <w:sz w:val="18"/>
    </w:rPr>
  </w:style>
  <w:style w:type="character" w:customStyle="1" w:styleId="22">
    <w:name w:val="textindent"/>
    <w:basedOn w:val="10"/>
    <w:uiPriority w:val="0"/>
  </w:style>
  <w:style w:type="character" w:customStyle="1" w:styleId="23">
    <w:name w:val="页眉 Char"/>
    <w:basedOn w:val="10"/>
    <w:link w:val="5"/>
    <w:qFormat/>
    <w:uiPriority w:val="99"/>
    <w:rPr>
      <w:sz w:val="18"/>
    </w:rPr>
  </w:style>
  <w:style w:type="character" w:customStyle="1" w:styleId="24">
    <w:name w:val="批注文字 Char1"/>
    <w:basedOn w:val="10"/>
    <w:link w:val="2"/>
    <w:uiPriority w:val="0"/>
    <w:rPr>
      <w:rFonts w:ascii="Calibri" w:hAnsi="Calibri"/>
    </w:rPr>
  </w:style>
  <w:style w:type="character" w:customStyle="1" w:styleId="25">
    <w:name w:val="批注主题 Char"/>
    <w:basedOn w:val="24"/>
    <w:link w:val="7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1184</Words>
  <Characters>1239</Characters>
  <Lines>9</Lines>
  <Paragraphs>2</Paragraphs>
  <TotalTime>80</TotalTime>
  <ScaleCrop>false</ScaleCrop>
  <LinksUpToDate>false</LinksUpToDate>
  <CharactersWithSpaces>1239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乔羽</dc:creator>
  <dc:description>DingTalk Document</dc:description>
  <cp:lastModifiedBy>Administrator</cp:lastModifiedBy>
  <dcterms:modified xsi:type="dcterms:W3CDTF">2023-09-11T03:34:14Z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