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shd w:val="clear" w:color="auto" w:fill="FFFFFF"/>
        <w:adjustRightInd w:val="0"/>
        <w:snapToGrid w:val="0"/>
        <w:spacing w:before="0" w:beforeAutospacing="0" w:after="0" w:afterAutospacing="0" w:line="600" w:lineRule="exact"/>
        <w:ind w:firstLine="384"/>
        <w:jc w:val="both"/>
        <w:rPr>
          <w:rFonts w:ascii="Times New Roman" w:hAnsi="Times New Roman" w:eastAsia="微软雅黑" w:cs="Times New Roman"/>
          <w:color w:val="333333"/>
          <w:sz w:val="18"/>
          <w:szCs w:val="18"/>
        </w:rPr>
      </w:pPr>
      <w:r>
        <w:rPr>
          <w:rFonts w:ascii="Times New Roman" w:hAnsi="Times New Roman" w:eastAsia="仿宋" w:cs="Times New Roman"/>
          <w:color w:val="000000"/>
          <w:sz w:val="32"/>
          <w:szCs w:val="32"/>
          <w:lang w:bidi="ar"/>
        </w:rPr>
        <w:t>附件</w:t>
      </w:r>
      <w:r>
        <w:rPr>
          <w:rFonts w:hint="eastAsia" w:ascii="Times New Roman" w:hAnsi="Times New Roman" w:eastAsia="仿宋" w:cs="Times New Roman"/>
          <w:color w:val="000000"/>
          <w:sz w:val="32"/>
          <w:szCs w:val="32"/>
          <w:lang w:val="en-US" w:eastAsia="zh-CN" w:bidi="ar"/>
        </w:rPr>
        <w:t>1</w:t>
      </w:r>
    </w:p>
    <w:p>
      <w:pPr>
        <w:pStyle w:val="7"/>
        <w:shd w:val="clear" w:color="auto" w:fill="FFFFFF"/>
        <w:adjustRightInd w:val="0"/>
        <w:snapToGrid w:val="0"/>
        <w:spacing w:before="0" w:beforeAutospacing="0" w:after="0" w:afterAutospacing="0" w:line="600" w:lineRule="exact"/>
        <w:ind w:firstLine="2200" w:firstLineChars="500"/>
        <w:jc w:val="both"/>
        <w:rPr>
          <w:rFonts w:ascii="Times New Roman" w:hAnsi="Times New Roman" w:eastAsia="微软雅黑" w:cs="Times New Roman"/>
          <w:color w:val="333333"/>
          <w:sz w:val="18"/>
          <w:szCs w:val="18"/>
        </w:rPr>
      </w:pPr>
      <w:r>
        <w:rPr>
          <w:rFonts w:ascii="Times New Roman" w:hAnsi="Times New Roman" w:eastAsia="方正小标宋简体" w:cs="Times New Roman"/>
          <w:color w:val="333333"/>
          <w:sz w:val="44"/>
          <w:szCs w:val="44"/>
        </w:rPr>
        <w:t>部分职称评审相关政策</w:t>
      </w:r>
    </w:p>
    <w:p>
      <w:pPr>
        <w:pStyle w:val="7"/>
        <w:keepNext w:val="0"/>
        <w:keepLines w:val="0"/>
        <w:pageBreakBefore w:val="0"/>
        <w:widowControl w:val="0"/>
        <w:numPr>
          <w:ilvl w:val="0"/>
          <w:numId w:val="0"/>
        </w:numPr>
        <w:shd w:val="clear" w:color="auto" w:fill="FFFFFF"/>
        <w:kinsoku/>
        <w:wordWrap/>
        <w:overflowPunct/>
        <w:topLinePunct w:val="0"/>
        <w:autoSpaceDE/>
        <w:autoSpaceDN/>
        <w:bidi w:val="0"/>
        <w:adjustRightInd w:val="0"/>
        <w:snapToGrid w:val="0"/>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000000"/>
          <w:sz w:val="32"/>
          <w:szCs w:val="32"/>
          <w:highlight w:val="none"/>
          <w:lang w:val="en-US" w:eastAsia="zh-CN" w:bidi="ar"/>
        </w:rPr>
      </w:pPr>
    </w:p>
    <w:p>
      <w:pPr>
        <w:pStyle w:val="7"/>
        <w:keepNext w:val="0"/>
        <w:keepLines w:val="0"/>
        <w:pageBreakBefore w:val="0"/>
        <w:widowControl w:val="0"/>
        <w:numPr>
          <w:ilvl w:val="0"/>
          <w:numId w:val="0"/>
        </w:numPr>
        <w:shd w:val="clear" w:color="auto" w:fill="FFFFFF"/>
        <w:kinsoku/>
        <w:wordWrap/>
        <w:overflowPunct/>
        <w:topLinePunct w:val="0"/>
        <w:autoSpaceDE/>
        <w:autoSpaceDN/>
        <w:bidi w:val="0"/>
        <w:adjustRightInd w:val="0"/>
        <w:snapToGrid w:val="0"/>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000000"/>
          <w:sz w:val="32"/>
          <w:szCs w:val="32"/>
          <w:highlight w:val="none"/>
          <w:lang w:bidi="ar"/>
        </w:rPr>
      </w:pPr>
      <w:r>
        <w:rPr>
          <w:rFonts w:hint="eastAsia" w:ascii="仿宋_GB2312" w:hAnsi="仿宋_GB2312" w:eastAsia="仿宋_GB2312" w:cs="仿宋_GB2312"/>
          <w:color w:val="000000"/>
          <w:sz w:val="32"/>
          <w:szCs w:val="32"/>
          <w:highlight w:val="none"/>
          <w:lang w:val="en-US" w:eastAsia="zh-CN" w:bidi="ar"/>
        </w:rPr>
        <w:t>1.</w:t>
      </w:r>
      <w:r>
        <w:rPr>
          <w:rFonts w:hint="eastAsia" w:ascii="仿宋_GB2312" w:hAnsi="仿宋_GB2312" w:eastAsia="仿宋_GB2312" w:cs="仿宋_GB2312"/>
          <w:color w:val="000000"/>
          <w:sz w:val="32"/>
          <w:szCs w:val="32"/>
          <w:highlight w:val="none"/>
          <w:lang w:bidi="ar"/>
        </w:rPr>
        <w:t>《中共山东省委办公厅山东省人民政府办公厅印发&lt;关于深化职称制度改革的实施意见&gt;的通知》（鲁办发〔2018〕1号）</w:t>
      </w:r>
    </w:p>
    <w:p>
      <w:pPr>
        <w:pStyle w:val="7"/>
        <w:keepNext w:val="0"/>
        <w:keepLines w:val="0"/>
        <w:pageBreakBefore w:val="0"/>
        <w:widowControl w:val="0"/>
        <w:shd w:val="clear" w:color="auto" w:fill="FFFFFF"/>
        <w:kinsoku/>
        <w:wordWrap/>
        <w:overflowPunct/>
        <w:topLinePunct w:val="0"/>
        <w:autoSpaceDE/>
        <w:autoSpaceDN/>
        <w:bidi w:val="0"/>
        <w:adjustRightInd w:val="0"/>
        <w:snapToGrid w:val="0"/>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000000"/>
          <w:sz w:val="32"/>
          <w:szCs w:val="32"/>
          <w:highlight w:val="none"/>
          <w:lang w:bidi="ar"/>
        </w:rPr>
      </w:pPr>
      <w:r>
        <w:rPr>
          <w:rFonts w:hint="eastAsia" w:ascii="仿宋_GB2312" w:hAnsi="仿宋_GB2312" w:eastAsia="仿宋_GB2312" w:cs="仿宋_GB2312"/>
          <w:color w:val="000000"/>
          <w:sz w:val="32"/>
          <w:szCs w:val="32"/>
          <w:highlight w:val="none"/>
          <w:lang w:val="en-US" w:eastAsia="zh-CN" w:bidi="ar"/>
        </w:rPr>
        <w:t>2</w:t>
      </w:r>
      <w:r>
        <w:rPr>
          <w:rFonts w:hint="eastAsia" w:ascii="仿宋_GB2312" w:hAnsi="仿宋_GB2312" w:eastAsia="仿宋_GB2312" w:cs="仿宋_GB2312"/>
          <w:color w:val="000000"/>
          <w:sz w:val="32"/>
          <w:szCs w:val="32"/>
          <w:highlight w:val="none"/>
          <w:lang w:bidi="ar"/>
        </w:rPr>
        <w:t>.《山东省人力资源和社会保障厅关于印发山东省职称评审管理服务实施办法的通知》（鲁人社规〔2021〕1号）</w:t>
      </w:r>
    </w:p>
    <w:p>
      <w:pPr>
        <w:pStyle w:val="7"/>
        <w:keepNext w:val="0"/>
        <w:keepLines w:val="0"/>
        <w:pageBreakBefore w:val="0"/>
        <w:widowControl w:val="0"/>
        <w:shd w:val="clear" w:color="auto" w:fill="FFFFFF"/>
        <w:kinsoku/>
        <w:wordWrap/>
        <w:overflowPunct/>
        <w:topLinePunct w:val="0"/>
        <w:autoSpaceDE/>
        <w:autoSpaceDN/>
        <w:bidi w:val="0"/>
        <w:adjustRightInd w:val="0"/>
        <w:snapToGrid w:val="0"/>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000000"/>
          <w:sz w:val="32"/>
          <w:szCs w:val="32"/>
          <w:highlight w:val="none"/>
          <w:lang w:bidi="ar"/>
        </w:rPr>
      </w:pPr>
      <w:r>
        <w:rPr>
          <w:rFonts w:hint="eastAsia" w:ascii="仿宋_GB2312" w:hAnsi="仿宋_GB2312" w:eastAsia="仿宋_GB2312" w:cs="仿宋_GB2312"/>
          <w:color w:val="000000"/>
          <w:sz w:val="32"/>
          <w:szCs w:val="32"/>
          <w:highlight w:val="none"/>
          <w:lang w:val="en-US" w:eastAsia="zh-CN" w:bidi="ar"/>
        </w:rPr>
        <w:t>3</w:t>
      </w:r>
      <w:r>
        <w:rPr>
          <w:rFonts w:hint="eastAsia" w:ascii="仿宋_GB2312" w:hAnsi="仿宋_GB2312" w:eastAsia="仿宋_GB2312" w:cs="仿宋_GB2312"/>
          <w:color w:val="000000"/>
          <w:sz w:val="32"/>
          <w:szCs w:val="32"/>
          <w:highlight w:val="none"/>
          <w:lang w:bidi="ar"/>
        </w:rPr>
        <w:t>.《山东省人力资源和社会保障厅关于工程技术领域高技能人才与工程技术人才职业贯通发展的实施意见》（鲁人社发〔2020〕16号）</w:t>
      </w:r>
    </w:p>
    <w:p>
      <w:pPr>
        <w:pStyle w:val="7"/>
        <w:keepNext w:val="0"/>
        <w:keepLines w:val="0"/>
        <w:pageBreakBefore w:val="0"/>
        <w:widowControl w:val="0"/>
        <w:shd w:val="clear" w:color="auto" w:fill="FFFFFF"/>
        <w:kinsoku/>
        <w:wordWrap/>
        <w:overflowPunct/>
        <w:topLinePunct w:val="0"/>
        <w:autoSpaceDE/>
        <w:autoSpaceDN/>
        <w:bidi w:val="0"/>
        <w:adjustRightInd w:val="0"/>
        <w:snapToGrid w:val="0"/>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000000"/>
          <w:sz w:val="32"/>
          <w:szCs w:val="32"/>
          <w:highlight w:val="none"/>
          <w:lang w:bidi="ar"/>
        </w:rPr>
      </w:pPr>
      <w:r>
        <w:rPr>
          <w:rFonts w:hint="eastAsia" w:ascii="仿宋_GB2312" w:hAnsi="仿宋_GB2312" w:eastAsia="仿宋_GB2312" w:cs="仿宋_GB2312"/>
          <w:color w:val="000000"/>
          <w:sz w:val="32"/>
          <w:szCs w:val="32"/>
          <w:highlight w:val="none"/>
          <w:lang w:val="en-US" w:eastAsia="zh-CN" w:bidi="ar"/>
        </w:rPr>
        <w:t>4</w:t>
      </w:r>
      <w:r>
        <w:rPr>
          <w:rFonts w:hint="eastAsia" w:ascii="仿宋_GB2312" w:hAnsi="仿宋_GB2312" w:eastAsia="仿宋_GB2312" w:cs="仿宋_GB2312"/>
          <w:color w:val="000000"/>
          <w:sz w:val="32"/>
          <w:szCs w:val="32"/>
          <w:highlight w:val="none"/>
          <w:lang w:bidi="ar"/>
        </w:rPr>
        <w:t>.《山东省人力资源和社会保障厅关于进一步做好高技能人才和专业技术人才职业发展贯通工作的通知》（鲁人社字〔2021〕70号）</w:t>
      </w:r>
    </w:p>
    <w:p>
      <w:pPr>
        <w:pStyle w:val="7"/>
        <w:keepNext w:val="0"/>
        <w:keepLines w:val="0"/>
        <w:pageBreakBefore w:val="0"/>
        <w:widowControl w:val="0"/>
        <w:shd w:val="clear" w:color="auto" w:fill="FFFFFF"/>
        <w:kinsoku/>
        <w:wordWrap/>
        <w:overflowPunct/>
        <w:topLinePunct w:val="0"/>
        <w:autoSpaceDE/>
        <w:autoSpaceDN/>
        <w:bidi w:val="0"/>
        <w:adjustRightInd w:val="0"/>
        <w:snapToGrid w:val="0"/>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000000"/>
          <w:sz w:val="32"/>
          <w:szCs w:val="32"/>
          <w:highlight w:val="none"/>
          <w:lang w:val="en-US" w:eastAsia="zh-CN" w:bidi="ar"/>
        </w:rPr>
      </w:pPr>
      <w:r>
        <w:rPr>
          <w:rFonts w:hint="eastAsia" w:ascii="仿宋_GB2312" w:hAnsi="仿宋_GB2312" w:eastAsia="仿宋_GB2312" w:cs="仿宋_GB2312"/>
          <w:color w:val="000000"/>
          <w:sz w:val="32"/>
          <w:szCs w:val="32"/>
          <w:highlight w:val="none"/>
          <w:lang w:val="en-US" w:eastAsia="zh-CN" w:bidi="ar"/>
        </w:rPr>
        <w:t>5.《山东省农业农村厅山东省人力资源和社会保障厅关于做好农业领域高技能人才与专业技术人才职业贯通发展的通知》（鲁农人字〔2021〕48号）</w:t>
      </w:r>
    </w:p>
    <w:p>
      <w:pPr>
        <w:pStyle w:val="7"/>
        <w:keepNext w:val="0"/>
        <w:keepLines w:val="0"/>
        <w:pageBreakBefore w:val="0"/>
        <w:widowControl w:val="0"/>
        <w:shd w:val="clear" w:color="auto" w:fill="FFFFFF"/>
        <w:kinsoku/>
        <w:wordWrap/>
        <w:overflowPunct/>
        <w:topLinePunct w:val="0"/>
        <w:autoSpaceDE/>
        <w:autoSpaceDN/>
        <w:bidi w:val="0"/>
        <w:adjustRightInd w:val="0"/>
        <w:snapToGrid w:val="0"/>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000000"/>
          <w:sz w:val="32"/>
          <w:szCs w:val="32"/>
          <w:highlight w:val="none"/>
          <w:lang w:val="en-US" w:eastAsia="zh-CN" w:bidi="ar"/>
        </w:rPr>
      </w:pPr>
      <w:r>
        <w:rPr>
          <w:rFonts w:hint="eastAsia" w:ascii="仿宋_GB2312" w:hAnsi="仿宋_GB2312" w:eastAsia="仿宋_GB2312" w:cs="仿宋_GB2312"/>
          <w:color w:val="000000"/>
          <w:sz w:val="32"/>
          <w:szCs w:val="32"/>
          <w:highlight w:val="none"/>
          <w:lang w:val="en-US" w:eastAsia="zh-CN" w:bidi="ar"/>
        </w:rPr>
        <w:t>6.《山东省文化和旅游厅山东省人力资源和社会保障厅关于做好文物博物领域和艺术领域高技能人才与专业技术人才职业贯通发展有关工作的通知》（鲁文旅发〔2021〕28号）</w:t>
      </w:r>
    </w:p>
    <w:p>
      <w:pPr>
        <w:pStyle w:val="7"/>
        <w:keepNext w:val="0"/>
        <w:keepLines w:val="0"/>
        <w:pageBreakBefore w:val="0"/>
        <w:widowControl w:val="0"/>
        <w:shd w:val="clear" w:color="auto" w:fill="FFFFFF"/>
        <w:kinsoku/>
        <w:wordWrap/>
        <w:overflowPunct/>
        <w:topLinePunct w:val="0"/>
        <w:autoSpaceDE/>
        <w:autoSpaceDN/>
        <w:bidi w:val="0"/>
        <w:adjustRightInd w:val="0"/>
        <w:snapToGrid w:val="0"/>
        <w:spacing w:before="0" w:beforeAutospacing="0" w:after="0" w:afterAutospacing="0" w:line="560" w:lineRule="exact"/>
        <w:ind w:firstLine="640" w:firstLineChars="200"/>
        <w:jc w:val="both"/>
        <w:textAlignment w:val="auto"/>
        <w:rPr>
          <w:rFonts w:hint="default" w:ascii="仿宋_GB2312" w:hAnsi="仿宋_GB2312" w:eastAsia="仿宋_GB2312" w:cs="仿宋_GB2312"/>
          <w:color w:val="000000"/>
          <w:sz w:val="32"/>
          <w:szCs w:val="32"/>
          <w:highlight w:val="none"/>
          <w:lang w:val="en-US" w:eastAsia="zh-CN" w:bidi="ar"/>
        </w:rPr>
      </w:pPr>
      <w:r>
        <w:rPr>
          <w:rFonts w:hint="eastAsia" w:ascii="仿宋_GB2312" w:hAnsi="仿宋_GB2312" w:eastAsia="仿宋_GB2312" w:cs="仿宋_GB2312"/>
          <w:color w:val="000000"/>
          <w:sz w:val="32"/>
          <w:szCs w:val="32"/>
          <w:highlight w:val="none"/>
          <w:lang w:val="en-US" w:eastAsia="zh-CN" w:bidi="ar"/>
        </w:rPr>
        <w:t>7.《山东省教育厅山东省人力资源和社会保障厅关于做好实验技术领域高技能人才与专业技术人才职业发展贯通有关工作的通知》（鲁教师字〔2021〕5号）</w:t>
      </w:r>
    </w:p>
    <w:p>
      <w:pPr>
        <w:pStyle w:val="7"/>
        <w:keepNext w:val="0"/>
        <w:keepLines w:val="0"/>
        <w:pageBreakBefore w:val="0"/>
        <w:widowControl w:val="0"/>
        <w:shd w:val="clear" w:color="auto" w:fill="FFFFFF"/>
        <w:kinsoku/>
        <w:wordWrap/>
        <w:overflowPunct/>
        <w:topLinePunct w:val="0"/>
        <w:autoSpaceDE/>
        <w:autoSpaceDN/>
        <w:bidi w:val="0"/>
        <w:adjustRightInd w:val="0"/>
        <w:snapToGrid w:val="0"/>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000000"/>
          <w:sz w:val="32"/>
          <w:szCs w:val="32"/>
          <w:highlight w:val="none"/>
          <w:lang w:val="en-US" w:eastAsia="zh-CN" w:bidi="ar"/>
        </w:rPr>
      </w:pPr>
      <w:r>
        <w:rPr>
          <w:rFonts w:hint="eastAsia" w:ascii="仿宋_GB2312" w:hAnsi="仿宋_GB2312" w:eastAsia="仿宋_GB2312" w:cs="仿宋_GB2312"/>
          <w:color w:val="000000"/>
          <w:sz w:val="32"/>
          <w:szCs w:val="32"/>
          <w:highlight w:val="none"/>
          <w:lang w:val="en-US" w:eastAsia="zh-CN" w:bidi="ar"/>
        </w:rPr>
        <w:t>8.《山东省轻工集体企业联社山东省人力资源和社会保障厅关于做好工艺美术领域高技能人才与专业技术人才职业发展贯通有关工作的通知》（鲁轻联人〔2021〕52号）</w:t>
      </w:r>
    </w:p>
    <w:p>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left"/>
        <w:textAlignment w:val="auto"/>
        <w:rPr>
          <w:rFonts w:hint="default" w:ascii="仿宋_GB2312" w:hAnsi="仿宋_GB2312" w:eastAsia="仿宋_GB2312" w:cs="仿宋_GB2312"/>
          <w:color w:val="000000"/>
          <w:sz w:val="32"/>
          <w:szCs w:val="32"/>
          <w:highlight w:val="none"/>
          <w:lang w:val="en-US" w:eastAsia="zh-CN" w:bidi="ar"/>
        </w:rPr>
      </w:pPr>
      <w:r>
        <w:rPr>
          <w:rFonts w:hint="eastAsia" w:ascii="仿宋_GB2312" w:hAnsi="仿宋_GB2312" w:eastAsia="仿宋_GB2312" w:cs="仿宋_GB2312"/>
          <w:color w:val="000000"/>
          <w:sz w:val="32"/>
          <w:szCs w:val="32"/>
          <w:highlight w:val="none"/>
          <w:lang w:val="en-US" w:eastAsia="zh-CN" w:bidi="ar"/>
        </w:rPr>
        <w:t>9.</w:t>
      </w:r>
      <w:r>
        <w:rPr>
          <w:rFonts w:hint="eastAsia" w:ascii="仿宋_GB2312" w:hAnsi="仿宋_GB2312" w:eastAsia="仿宋_GB2312" w:cs="仿宋_GB2312"/>
          <w:color w:val="000000"/>
          <w:kern w:val="0"/>
          <w:sz w:val="32"/>
          <w:szCs w:val="32"/>
          <w:highlight w:val="none"/>
          <w:lang w:val="en-US" w:eastAsia="zh-CN" w:bidi="ar"/>
        </w:rPr>
        <w:t>《山东省体育局山东省人力资源和社会保障厅关于印发&lt;山东省体育行业专业技术人才评价认定职业资格和技能等级实施办法&gt;的通知》(鲁体字〔2021〕40号)</w:t>
      </w:r>
    </w:p>
    <w:p>
      <w:pPr>
        <w:pStyle w:val="7"/>
        <w:keepNext w:val="0"/>
        <w:keepLines w:val="0"/>
        <w:pageBreakBefore w:val="0"/>
        <w:widowControl w:val="0"/>
        <w:shd w:val="clear" w:color="auto" w:fill="FFFFFF"/>
        <w:kinsoku/>
        <w:wordWrap/>
        <w:overflowPunct/>
        <w:topLinePunct w:val="0"/>
        <w:autoSpaceDE/>
        <w:autoSpaceDN/>
        <w:bidi w:val="0"/>
        <w:adjustRightInd w:val="0"/>
        <w:snapToGrid w:val="0"/>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000000"/>
          <w:sz w:val="32"/>
          <w:szCs w:val="32"/>
          <w:highlight w:val="none"/>
          <w:lang w:bidi="ar"/>
        </w:rPr>
      </w:pPr>
      <w:r>
        <w:rPr>
          <w:rFonts w:hint="eastAsia" w:ascii="仿宋_GB2312" w:hAnsi="仿宋_GB2312" w:eastAsia="仿宋_GB2312" w:cs="仿宋_GB2312"/>
          <w:color w:val="000000"/>
          <w:sz w:val="32"/>
          <w:szCs w:val="32"/>
          <w:highlight w:val="none"/>
          <w:lang w:val="en-US" w:eastAsia="zh-CN" w:bidi="ar"/>
        </w:rPr>
        <w:t>10</w:t>
      </w:r>
      <w:r>
        <w:rPr>
          <w:rFonts w:hint="eastAsia" w:ascii="仿宋_GB2312" w:hAnsi="仿宋_GB2312" w:eastAsia="仿宋_GB2312" w:cs="仿宋_GB2312"/>
          <w:color w:val="000000"/>
          <w:sz w:val="32"/>
          <w:szCs w:val="32"/>
          <w:highlight w:val="none"/>
          <w:lang w:bidi="ar"/>
        </w:rPr>
        <w:t>.《山东省人力资源和社会保障厅关于下放职称服务管理权限和建立高层次人才高级职称评审“直通车”制度的通知》（鲁人社字〔2019〕128号）</w:t>
      </w:r>
    </w:p>
    <w:p>
      <w:pPr>
        <w:pStyle w:val="7"/>
        <w:keepNext w:val="0"/>
        <w:keepLines w:val="0"/>
        <w:pageBreakBefore w:val="0"/>
        <w:widowControl w:val="0"/>
        <w:shd w:val="clear" w:color="auto" w:fill="FFFFFF"/>
        <w:kinsoku/>
        <w:wordWrap/>
        <w:overflowPunct/>
        <w:topLinePunct w:val="0"/>
        <w:autoSpaceDE/>
        <w:autoSpaceDN/>
        <w:bidi w:val="0"/>
        <w:adjustRightInd w:val="0"/>
        <w:snapToGrid w:val="0"/>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000000"/>
          <w:sz w:val="32"/>
          <w:szCs w:val="32"/>
          <w:highlight w:val="none"/>
          <w:lang w:bidi="ar"/>
        </w:rPr>
      </w:pPr>
      <w:r>
        <w:rPr>
          <w:rFonts w:hint="eastAsia" w:ascii="仿宋_GB2312" w:hAnsi="仿宋_GB2312" w:eastAsia="仿宋_GB2312" w:cs="仿宋_GB2312"/>
          <w:color w:val="000000"/>
          <w:sz w:val="32"/>
          <w:szCs w:val="32"/>
          <w:highlight w:val="none"/>
          <w:lang w:val="en-US" w:eastAsia="zh-CN" w:bidi="ar"/>
        </w:rPr>
        <w:t>11</w:t>
      </w:r>
      <w:r>
        <w:rPr>
          <w:rFonts w:hint="eastAsia" w:ascii="仿宋_GB2312" w:hAnsi="仿宋_GB2312" w:eastAsia="仿宋_GB2312" w:cs="仿宋_GB2312"/>
          <w:color w:val="000000"/>
          <w:sz w:val="32"/>
          <w:szCs w:val="32"/>
          <w:highlight w:val="none"/>
          <w:lang w:bidi="ar"/>
        </w:rPr>
        <w:t>.《中共山东省委组织部山东省人力资源和社会保障厅等8部门关于贯彻落实人社部发〔2019〕137号文件进一步支持鼓励事业单位科研人员创新创业的通知》（鲁人社字〔2020〕28号）</w:t>
      </w:r>
    </w:p>
    <w:p>
      <w:pPr>
        <w:pStyle w:val="7"/>
        <w:keepNext w:val="0"/>
        <w:keepLines w:val="0"/>
        <w:pageBreakBefore w:val="0"/>
        <w:widowControl w:val="0"/>
        <w:shd w:val="clear" w:color="auto" w:fill="FFFFFF"/>
        <w:kinsoku/>
        <w:wordWrap/>
        <w:overflowPunct/>
        <w:topLinePunct w:val="0"/>
        <w:autoSpaceDE/>
        <w:autoSpaceDN/>
        <w:bidi w:val="0"/>
        <w:adjustRightInd w:val="0"/>
        <w:snapToGrid w:val="0"/>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000000"/>
          <w:sz w:val="32"/>
          <w:szCs w:val="32"/>
          <w:highlight w:val="none"/>
          <w:lang w:bidi="ar"/>
        </w:rPr>
      </w:pPr>
      <w:r>
        <w:rPr>
          <w:rFonts w:hint="eastAsia" w:ascii="仿宋_GB2312" w:hAnsi="仿宋_GB2312" w:eastAsia="仿宋_GB2312" w:cs="仿宋_GB2312"/>
          <w:color w:val="000000"/>
          <w:sz w:val="32"/>
          <w:szCs w:val="32"/>
          <w:highlight w:val="none"/>
          <w:lang w:val="en-US" w:eastAsia="zh-CN" w:bidi="ar"/>
        </w:rPr>
        <w:t>12</w:t>
      </w:r>
      <w:r>
        <w:rPr>
          <w:rFonts w:hint="eastAsia" w:ascii="仿宋_GB2312" w:hAnsi="仿宋_GB2312" w:eastAsia="仿宋_GB2312" w:cs="仿宋_GB2312"/>
          <w:color w:val="000000"/>
          <w:sz w:val="32"/>
          <w:szCs w:val="32"/>
          <w:highlight w:val="none"/>
          <w:lang w:bidi="ar"/>
        </w:rPr>
        <w:t>.《山东省人力资源和社会保障厅等6部门关于加快落实基层职称制度的通知》（鲁人社字〔2020〕42号）</w:t>
      </w:r>
    </w:p>
    <w:p>
      <w:pPr>
        <w:pStyle w:val="7"/>
        <w:keepNext w:val="0"/>
        <w:keepLines w:val="0"/>
        <w:pageBreakBefore w:val="0"/>
        <w:widowControl w:val="0"/>
        <w:shd w:val="clear" w:color="auto" w:fill="FFFFFF"/>
        <w:kinsoku/>
        <w:wordWrap/>
        <w:overflowPunct/>
        <w:topLinePunct w:val="0"/>
        <w:autoSpaceDE/>
        <w:autoSpaceDN/>
        <w:bidi w:val="0"/>
        <w:adjustRightInd w:val="0"/>
        <w:snapToGrid w:val="0"/>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000000"/>
          <w:sz w:val="32"/>
          <w:szCs w:val="32"/>
          <w:highlight w:val="none"/>
          <w:lang w:bidi="ar"/>
        </w:rPr>
      </w:pPr>
      <w:r>
        <w:rPr>
          <w:rFonts w:hint="eastAsia" w:ascii="仿宋_GB2312" w:hAnsi="仿宋_GB2312" w:eastAsia="仿宋_GB2312" w:cs="仿宋_GB2312"/>
          <w:color w:val="000000"/>
          <w:sz w:val="32"/>
          <w:szCs w:val="32"/>
          <w:highlight w:val="none"/>
          <w:lang w:val="en-US" w:eastAsia="zh-CN" w:bidi="ar"/>
        </w:rPr>
        <w:t>13.</w:t>
      </w:r>
      <w:r>
        <w:rPr>
          <w:rFonts w:hint="eastAsia" w:ascii="仿宋_GB2312" w:hAnsi="仿宋_GB2312" w:eastAsia="仿宋_GB2312" w:cs="仿宋_GB2312"/>
          <w:color w:val="000000"/>
          <w:sz w:val="32"/>
          <w:szCs w:val="32"/>
          <w:highlight w:val="none"/>
          <w:lang w:bidi="ar"/>
        </w:rPr>
        <w:t>《山东省人力资源和社会保障厅关于加强中级职称评审委员会目录清单管理工作的通知》（鲁人社字〔2020〕103号）</w:t>
      </w:r>
    </w:p>
    <w:p>
      <w:pPr>
        <w:pStyle w:val="7"/>
        <w:keepNext w:val="0"/>
        <w:keepLines w:val="0"/>
        <w:pageBreakBefore w:val="0"/>
        <w:widowControl w:val="0"/>
        <w:shd w:val="clear" w:color="auto" w:fill="FFFFFF"/>
        <w:kinsoku/>
        <w:wordWrap/>
        <w:overflowPunct/>
        <w:topLinePunct w:val="0"/>
        <w:autoSpaceDE/>
        <w:autoSpaceDN/>
        <w:bidi w:val="0"/>
        <w:adjustRightInd w:val="0"/>
        <w:snapToGrid w:val="0"/>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000000"/>
          <w:sz w:val="32"/>
          <w:szCs w:val="32"/>
          <w:highlight w:val="none"/>
          <w:lang w:bidi="ar"/>
        </w:rPr>
      </w:pPr>
      <w:r>
        <w:rPr>
          <w:rFonts w:hint="eastAsia" w:ascii="仿宋_GB2312" w:hAnsi="仿宋_GB2312" w:eastAsia="仿宋_GB2312" w:cs="仿宋_GB2312"/>
          <w:color w:val="000000"/>
          <w:sz w:val="32"/>
          <w:szCs w:val="32"/>
          <w:highlight w:val="none"/>
          <w:lang w:bidi="ar"/>
        </w:rPr>
        <w:t>1</w:t>
      </w:r>
      <w:r>
        <w:rPr>
          <w:rFonts w:hint="eastAsia" w:ascii="仿宋_GB2312" w:hAnsi="仿宋_GB2312" w:eastAsia="仿宋_GB2312" w:cs="仿宋_GB2312"/>
          <w:color w:val="000000"/>
          <w:sz w:val="32"/>
          <w:szCs w:val="32"/>
          <w:highlight w:val="none"/>
          <w:lang w:val="en-US" w:eastAsia="zh-CN" w:bidi="ar"/>
        </w:rPr>
        <w:t>4</w:t>
      </w:r>
      <w:r>
        <w:rPr>
          <w:rFonts w:hint="eastAsia" w:ascii="仿宋_GB2312" w:hAnsi="仿宋_GB2312" w:eastAsia="仿宋_GB2312" w:cs="仿宋_GB2312"/>
          <w:color w:val="000000"/>
          <w:sz w:val="32"/>
          <w:szCs w:val="32"/>
          <w:highlight w:val="none"/>
          <w:lang w:bidi="ar"/>
        </w:rPr>
        <w:t>.《山东省人力资源和社会保障厅山东省农业农村厅关于做好新型职业农民职称工作有关问题的通知》（鲁人社字〔2020〕153号）</w:t>
      </w:r>
    </w:p>
    <w:p>
      <w:pPr>
        <w:pStyle w:val="7"/>
        <w:keepNext w:val="0"/>
        <w:keepLines w:val="0"/>
        <w:pageBreakBefore w:val="0"/>
        <w:widowControl w:val="0"/>
        <w:shd w:val="clear" w:color="auto" w:fill="FFFFFF"/>
        <w:kinsoku/>
        <w:wordWrap/>
        <w:overflowPunct/>
        <w:topLinePunct w:val="0"/>
        <w:autoSpaceDE/>
        <w:autoSpaceDN/>
        <w:bidi w:val="0"/>
        <w:adjustRightInd w:val="0"/>
        <w:snapToGrid w:val="0"/>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000000"/>
          <w:sz w:val="32"/>
          <w:szCs w:val="32"/>
          <w:highlight w:val="none"/>
          <w:lang w:bidi="ar"/>
        </w:rPr>
      </w:pPr>
      <w:r>
        <w:rPr>
          <w:rFonts w:hint="eastAsia" w:ascii="仿宋_GB2312" w:hAnsi="仿宋_GB2312" w:eastAsia="仿宋_GB2312" w:cs="仿宋_GB2312"/>
          <w:color w:val="000000"/>
          <w:sz w:val="32"/>
          <w:szCs w:val="32"/>
          <w:highlight w:val="none"/>
          <w:lang w:bidi="ar"/>
        </w:rPr>
        <w:t>1</w:t>
      </w:r>
      <w:r>
        <w:rPr>
          <w:rFonts w:hint="eastAsia" w:ascii="仿宋_GB2312" w:hAnsi="仿宋_GB2312" w:eastAsia="仿宋_GB2312" w:cs="仿宋_GB2312"/>
          <w:color w:val="000000"/>
          <w:sz w:val="32"/>
          <w:szCs w:val="32"/>
          <w:highlight w:val="none"/>
          <w:lang w:val="en-US" w:eastAsia="zh-CN" w:bidi="ar"/>
        </w:rPr>
        <w:t>5</w:t>
      </w:r>
      <w:r>
        <w:rPr>
          <w:rFonts w:hint="eastAsia" w:ascii="仿宋_GB2312" w:hAnsi="仿宋_GB2312" w:eastAsia="仿宋_GB2312" w:cs="仿宋_GB2312"/>
          <w:color w:val="000000"/>
          <w:sz w:val="32"/>
          <w:szCs w:val="32"/>
          <w:highlight w:val="none"/>
          <w:lang w:bidi="ar"/>
        </w:rPr>
        <w:t>.《山东省人力资源和社会保障厅关于建立部分专业技术类职业资格和职称对应关系的通知》（鲁人社办发〔2019〕14号）</w:t>
      </w:r>
    </w:p>
    <w:p>
      <w:pPr>
        <w:pStyle w:val="7"/>
        <w:keepNext w:val="0"/>
        <w:keepLines w:val="0"/>
        <w:pageBreakBefore w:val="0"/>
        <w:widowControl w:val="0"/>
        <w:shd w:val="clear" w:color="auto" w:fill="FFFFFF"/>
        <w:kinsoku/>
        <w:wordWrap/>
        <w:overflowPunct/>
        <w:topLinePunct w:val="0"/>
        <w:autoSpaceDE/>
        <w:autoSpaceDN/>
        <w:bidi w:val="0"/>
        <w:adjustRightInd w:val="0"/>
        <w:snapToGrid w:val="0"/>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000000"/>
          <w:sz w:val="32"/>
          <w:szCs w:val="32"/>
          <w:highlight w:val="none"/>
          <w:lang w:bidi="ar"/>
        </w:rPr>
      </w:pPr>
      <w:r>
        <w:rPr>
          <w:rFonts w:hint="eastAsia" w:ascii="仿宋_GB2312" w:hAnsi="仿宋_GB2312" w:eastAsia="仿宋_GB2312" w:cs="仿宋_GB2312"/>
          <w:color w:val="000000"/>
          <w:sz w:val="32"/>
          <w:szCs w:val="32"/>
          <w:highlight w:val="none"/>
          <w:lang w:val="en-US" w:eastAsia="zh-CN" w:bidi="ar"/>
        </w:rPr>
        <w:t>16.</w:t>
      </w:r>
      <w:r>
        <w:rPr>
          <w:rFonts w:hint="eastAsia" w:ascii="仿宋_GB2312" w:hAnsi="仿宋_GB2312" w:eastAsia="仿宋_GB2312" w:cs="仿宋_GB2312"/>
          <w:color w:val="000000"/>
          <w:sz w:val="32"/>
          <w:szCs w:val="32"/>
          <w:highlight w:val="none"/>
          <w:lang w:bidi="ar"/>
        </w:rPr>
        <w:t>《山东省人力资源和社会保障厅关于转发人社厅发〔2020〕13号文件做好民营企业职称工作的通知》（鲁人社函〔2020〕72号）</w:t>
      </w:r>
    </w:p>
    <w:p>
      <w:pPr>
        <w:pStyle w:val="7"/>
        <w:keepNext w:val="0"/>
        <w:keepLines w:val="0"/>
        <w:pageBreakBefore w:val="0"/>
        <w:widowControl w:val="0"/>
        <w:shd w:val="clear" w:color="auto" w:fill="FFFFFF"/>
        <w:kinsoku/>
        <w:wordWrap/>
        <w:overflowPunct/>
        <w:topLinePunct w:val="0"/>
        <w:autoSpaceDE/>
        <w:autoSpaceDN/>
        <w:bidi w:val="0"/>
        <w:adjustRightInd w:val="0"/>
        <w:snapToGrid w:val="0"/>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000000"/>
          <w:sz w:val="32"/>
          <w:szCs w:val="32"/>
          <w:highlight w:val="none"/>
          <w:lang w:bidi="ar"/>
        </w:rPr>
      </w:pPr>
      <w:r>
        <w:rPr>
          <w:rFonts w:hint="eastAsia" w:ascii="仿宋_GB2312" w:hAnsi="仿宋_GB2312" w:eastAsia="仿宋_GB2312" w:cs="仿宋_GB2312"/>
          <w:color w:val="000000"/>
          <w:sz w:val="32"/>
          <w:szCs w:val="32"/>
          <w:highlight w:val="none"/>
          <w:lang w:val="en-US" w:eastAsia="zh-CN" w:bidi="ar"/>
        </w:rPr>
        <w:t>17.</w:t>
      </w:r>
      <w:r>
        <w:rPr>
          <w:rFonts w:hint="eastAsia" w:ascii="仿宋_GB2312" w:hAnsi="仿宋_GB2312" w:eastAsia="仿宋_GB2312" w:cs="仿宋_GB2312"/>
          <w:color w:val="000000"/>
          <w:sz w:val="32"/>
          <w:szCs w:val="32"/>
          <w:highlight w:val="none"/>
          <w:lang w:bidi="ar"/>
        </w:rPr>
        <w:t>《山东省人力资源和社会保障厅山东省教育厅关于印发山东省高校教师职称自主评聘管理办法的通知》（鲁人社发〔2021〕17号）</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kern w:val="0"/>
          <w:sz w:val="32"/>
          <w:szCs w:val="32"/>
          <w:highlight w:val="none"/>
          <w:lang w:val="en-US" w:eastAsia="zh-CN" w:bidi="ar"/>
        </w:rPr>
      </w:pPr>
      <w:r>
        <w:rPr>
          <w:rFonts w:hint="eastAsia" w:ascii="仿宋_GB2312" w:hAnsi="仿宋_GB2312" w:eastAsia="仿宋_GB2312" w:cs="仿宋_GB2312"/>
          <w:color w:val="000000"/>
          <w:kern w:val="0"/>
          <w:sz w:val="32"/>
          <w:szCs w:val="32"/>
          <w:highlight w:val="none"/>
          <w:lang w:val="en-US" w:eastAsia="zh-CN" w:bidi="ar"/>
        </w:rPr>
        <w:t>18.</w:t>
      </w:r>
      <w:r>
        <w:rPr>
          <w:rFonts w:hint="default" w:ascii="仿宋_GB2312" w:hAnsi="仿宋_GB2312" w:eastAsia="仿宋_GB2312" w:cs="仿宋_GB2312"/>
          <w:color w:val="000000"/>
          <w:kern w:val="0"/>
          <w:sz w:val="32"/>
          <w:szCs w:val="32"/>
          <w:highlight w:val="none"/>
          <w:lang w:val="en-US" w:eastAsia="zh-CN" w:bidi="ar"/>
        </w:rPr>
        <w:t>《山东省人力资源和社会保障厅关于优化职称自主评聘单位管理服务有关事项的通知》(鲁人社字</w:t>
      </w:r>
      <w:r>
        <w:rPr>
          <w:rFonts w:hint="eastAsia" w:ascii="仿宋_GB2312" w:hAnsi="仿宋_GB2312" w:eastAsia="仿宋_GB2312" w:cs="仿宋_GB2312"/>
          <w:color w:val="000000"/>
          <w:kern w:val="0"/>
          <w:sz w:val="32"/>
          <w:szCs w:val="32"/>
          <w:highlight w:val="none"/>
          <w:lang w:val="en-US" w:eastAsia="zh-CN" w:bidi="ar"/>
        </w:rPr>
        <w:t>〔</w:t>
      </w:r>
      <w:r>
        <w:rPr>
          <w:rFonts w:hint="default" w:ascii="仿宋_GB2312" w:hAnsi="仿宋_GB2312" w:eastAsia="仿宋_GB2312" w:cs="仿宋_GB2312"/>
          <w:color w:val="000000"/>
          <w:kern w:val="0"/>
          <w:sz w:val="32"/>
          <w:szCs w:val="32"/>
          <w:highlight w:val="none"/>
          <w:lang w:val="en-US" w:eastAsia="zh-CN" w:bidi="ar"/>
        </w:rPr>
        <w:t>2023</w:t>
      </w:r>
      <w:r>
        <w:rPr>
          <w:rFonts w:hint="eastAsia" w:ascii="仿宋_GB2312" w:hAnsi="仿宋_GB2312" w:eastAsia="仿宋_GB2312" w:cs="仿宋_GB2312"/>
          <w:color w:val="000000"/>
          <w:kern w:val="0"/>
          <w:sz w:val="32"/>
          <w:szCs w:val="32"/>
          <w:highlight w:val="none"/>
          <w:lang w:val="en-US" w:eastAsia="zh-CN" w:bidi="ar"/>
        </w:rPr>
        <w:t>〕</w:t>
      </w:r>
      <w:r>
        <w:rPr>
          <w:rFonts w:hint="default" w:ascii="仿宋_GB2312" w:hAnsi="仿宋_GB2312" w:eastAsia="仿宋_GB2312" w:cs="仿宋_GB2312"/>
          <w:color w:val="000000"/>
          <w:kern w:val="0"/>
          <w:sz w:val="32"/>
          <w:szCs w:val="32"/>
          <w:highlight w:val="none"/>
          <w:lang w:val="en-US" w:eastAsia="zh-CN" w:bidi="ar"/>
        </w:rPr>
        <w:t>49号)</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b w:val="0"/>
          <w:bCs w:val="0"/>
          <w:color w:val="auto"/>
          <w:sz w:val="32"/>
          <w:szCs w:val="32"/>
          <w:highlight w:val="none"/>
          <w:lang w:val="en-US" w:eastAsia="zh-CN" w:bidi="ar"/>
        </w:rPr>
      </w:pPr>
      <w:r>
        <w:rPr>
          <w:rFonts w:hint="eastAsia" w:ascii="仿宋_GB2312" w:hAnsi="仿宋_GB2312" w:eastAsia="仿宋_GB2312" w:cs="仿宋_GB2312"/>
          <w:b w:val="0"/>
          <w:bCs w:val="0"/>
          <w:color w:val="auto"/>
          <w:sz w:val="32"/>
          <w:szCs w:val="32"/>
          <w:highlight w:val="none"/>
          <w:lang w:val="en-US" w:eastAsia="zh-CN" w:bidi="ar"/>
        </w:rPr>
        <w:t>19.</w:t>
      </w:r>
      <w:r>
        <w:rPr>
          <w:rFonts w:hint="default" w:ascii="仿宋_GB2312" w:hAnsi="仿宋_GB2312" w:eastAsia="仿宋_GB2312" w:cs="仿宋_GB2312"/>
          <w:b w:val="0"/>
          <w:bCs w:val="0"/>
          <w:color w:val="auto"/>
          <w:kern w:val="0"/>
          <w:sz w:val="32"/>
          <w:szCs w:val="32"/>
          <w:highlight w:val="none"/>
          <w:lang w:val="en-US" w:eastAsia="zh-CN" w:bidi="ar"/>
        </w:rPr>
        <w:t>《</w:t>
      </w:r>
      <w:r>
        <w:rPr>
          <w:rFonts w:hint="eastAsia" w:ascii="仿宋_GB2312" w:hAnsi="仿宋_GB2312" w:eastAsia="仿宋_GB2312" w:cs="仿宋_GB2312"/>
          <w:b w:val="0"/>
          <w:bCs w:val="0"/>
          <w:color w:val="auto"/>
          <w:kern w:val="0"/>
          <w:sz w:val="32"/>
          <w:szCs w:val="32"/>
          <w:highlight w:val="none"/>
          <w:lang w:val="en-US" w:eastAsia="zh-CN" w:bidi="ar"/>
        </w:rPr>
        <w:t>德州市</w:t>
      </w:r>
      <w:r>
        <w:rPr>
          <w:rFonts w:hint="default" w:ascii="仿宋_GB2312" w:hAnsi="仿宋_GB2312" w:eastAsia="仿宋_GB2312" w:cs="仿宋_GB2312"/>
          <w:b w:val="0"/>
          <w:bCs w:val="0"/>
          <w:color w:val="auto"/>
          <w:kern w:val="0"/>
          <w:sz w:val="32"/>
          <w:szCs w:val="32"/>
          <w:highlight w:val="none"/>
          <w:lang w:val="en-US" w:eastAsia="zh-CN" w:bidi="ar"/>
        </w:rPr>
        <w:t>人力资源和社会保障</w:t>
      </w:r>
      <w:r>
        <w:rPr>
          <w:rFonts w:hint="eastAsia" w:ascii="仿宋_GB2312" w:hAnsi="仿宋_GB2312" w:eastAsia="仿宋_GB2312" w:cs="仿宋_GB2312"/>
          <w:b w:val="0"/>
          <w:bCs w:val="0"/>
          <w:color w:val="auto"/>
          <w:kern w:val="0"/>
          <w:sz w:val="32"/>
          <w:szCs w:val="32"/>
          <w:highlight w:val="none"/>
          <w:lang w:val="en-US" w:eastAsia="zh-CN" w:bidi="ar"/>
        </w:rPr>
        <w:t>局德州市</w:t>
      </w:r>
      <w:r>
        <w:rPr>
          <w:rFonts w:hint="default" w:ascii="仿宋_GB2312" w:hAnsi="仿宋_GB2312" w:eastAsia="仿宋_GB2312" w:cs="仿宋_GB2312"/>
          <w:b w:val="0"/>
          <w:bCs w:val="0"/>
          <w:color w:val="auto"/>
          <w:kern w:val="0"/>
          <w:sz w:val="32"/>
          <w:szCs w:val="32"/>
          <w:highlight w:val="none"/>
          <w:lang w:val="en-US" w:eastAsia="zh-CN" w:bidi="ar"/>
        </w:rPr>
        <w:t>工业和信息化</w:t>
      </w:r>
      <w:r>
        <w:rPr>
          <w:rFonts w:hint="eastAsia" w:ascii="仿宋_GB2312" w:hAnsi="仿宋_GB2312" w:eastAsia="仿宋_GB2312" w:cs="仿宋_GB2312"/>
          <w:b w:val="0"/>
          <w:bCs w:val="0"/>
          <w:color w:val="auto"/>
          <w:kern w:val="0"/>
          <w:sz w:val="32"/>
          <w:szCs w:val="32"/>
          <w:highlight w:val="none"/>
          <w:lang w:val="en-US" w:eastAsia="zh-CN" w:bidi="ar"/>
        </w:rPr>
        <w:t>局</w:t>
      </w:r>
      <w:r>
        <w:rPr>
          <w:rFonts w:hint="default" w:ascii="仿宋_GB2312" w:hAnsi="仿宋_GB2312" w:eastAsia="仿宋_GB2312" w:cs="仿宋_GB2312"/>
          <w:b w:val="0"/>
          <w:bCs w:val="0"/>
          <w:color w:val="auto"/>
          <w:kern w:val="0"/>
          <w:sz w:val="32"/>
          <w:szCs w:val="32"/>
          <w:highlight w:val="none"/>
          <w:lang w:val="en-US" w:eastAsia="zh-CN" w:bidi="ar"/>
        </w:rPr>
        <w:t>关于</w:t>
      </w:r>
      <w:r>
        <w:rPr>
          <w:rFonts w:hint="eastAsia" w:ascii="仿宋_GB2312" w:hAnsi="仿宋_GB2312" w:eastAsia="仿宋_GB2312" w:cs="仿宋_GB2312"/>
          <w:b w:val="0"/>
          <w:bCs w:val="0"/>
          <w:color w:val="auto"/>
          <w:kern w:val="0"/>
          <w:sz w:val="32"/>
          <w:szCs w:val="32"/>
          <w:highlight w:val="none"/>
          <w:lang w:val="en-US" w:eastAsia="zh-CN" w:bidi="ar"/>
        </w:rPr>
        <w:t>落实</w:t>
      </w:r>
      <w:r>
        <w:rPr>
          <w:rFonts w:hint="default" w:ascii="仿宋_GB2312" w:hAnsi="仿宋_GB2312" w:eastAsia="仿宋_GB2312" w:cs="仿宋_GB2312"/>
          <w:b w:val="0"/>
          <w:bCs w:val="0"/>
          <w:color w:val="auto"/>
          <w:kern w:val="0"/>
          <w:sz w:val="32"/>
          <w:szCs w:val="32"/>
          <w:highlight w:val="none"/>
          <w:lang w:val="en-US" w:eastAsia="zh-CN" w:bidi="ar"/>
        </w:rPr>
        <w:t>专精特新中小企业和制造业单项冠军企业</w:t>
      </w:r>
      <w:r>
        <w:rPr>
          <w:rFonts w:hint="eastAsia" w:ascii="仿宋_GB2312" w:hAnsi="仿宋_GB2312" w:eastAsia="仿宋_GB2312" w:cs="仿宋_GB2312"/>
          <w:b w:val="0"/>
          <w:bCs w:val="0"/>
          <w:color w:val="auto"/>
          <w:kern w:val="0"/>
          <w:sz w:val="32"/>
          <w:szCs w:val="32"/>
          <w:highlight w:val="none"/>
          <w:lang w:val="en-US" w:eastAsia="zh-CN" w:bidi="ar"/>
        </w:rPr>
        <w:t>专业技术人才职称</w:t>
      </w:r>
      <w:r>
        <w:rPr>
          <w:rFonts w:hint="default" w:ascii="仿宋_GB2312" w:hAnsi="仿宋_GB2312" w:eastAsia="仿宋_GB2312" w:cs="仿宋_GB2312"/>
          <w:b w:val="0"/>
          <w:bCs w:val="0"/>
          <w:color w:val="auto"/>
          <w:kern w:val="0"/>
          <w:sz w:val="32"/>
          <w:szCs w:val="32"/>
          <w:highlight w:val="none"/>
          <w:lang w:val="en-US" w:eastAsia="zh-CN" w:bidi="ar"/>
        </w:rPr>
        <w:t>评审</w:t>
      </w:r>
      <w:r>
        <w:rPr>
          <w:rFonts w:hint="eastAsia" w:ascii="仿宋_GB2312" w:hAnsi="仿宋_GB2312" w:eastAsia="仿宋_GB2312" w:cs="仿宋_GB2312"/>
          <w:b w:val="0"/>
          <w:bCs w:val="0"/>
          <w:color w:val="auto"/>
          <w:kern w:val="0"/>
          <w:sz w:val="32"/>
          <w:szCs w:val="32"/>
          <w:highlight w:val="none"/>
          <w:lang w:val="en-US" w:eastAsia="zh-CN" w:bidi="ar"/>
        </w:rPr>
        <w:t>政策</w:t>
      </w:r>
      <w:r>
        <w:rPr>
          <w:rFonts w:hint="default" w:ascii="仿宋_GB2312" w:hAnsi="仿宋_GB2312" w:eastAsia="仿宋_GB2312" w:cs="仿宋_GB2312"/>
          <w:b w:val="0"/>
          <w:bCs w:val="0"/>
          <w:color w:val="auto"/>
          <w:kern w:val="0"/>
          <w:sz w:val="32"/>
          <w:szCs w:val="32"/>
          <w:highlight w:val="none"/>
          <w:lang w:val="en-US" w:eastAsia="zh-CN" w:bidi="ar"/>
        </w:rPr>
        <w:t>的通知》(</w:t>
      </w:r>
      <w:r>
        <w:rPr>
          <w:rFonts w:hint="eastAsia" w:ascii="仿宋_GB2312" w:hAnsi="仿宋_GB2312" w:eastAsia="仿宋_GB2312" w:cs="仿宋_GB2312"/>
          <w:b w:val="0"/>
          <w:bCs w:val="0"/>
          <w:color w:val="auto"/>
          <w:kern w:val="0"/>
          <w:sz w:val="32"/>
          <w:szCs w:val="32"/>
          <w:highlight w:val="none"/>
          <w:lang w:val="en-US" w:eastAsia="zh-CN" w:bidi="ar"/>
        </w:rPr>
        <w:t>德</w:t>
      </w:r>
      <w:r>
        <w:rPr>
          <w:rFonts w:hint="default" w:ascii="仿宋_GB2312" w:hAnsi="仿宋_GB2312" w:eastAsia="仿宋_GB2312" w:cs="仿宋_GB2312"/>
          <w:b w:val="0"/>
          <w:bCs w:val="0"/>
          <w:color w:val="auto"/>
          <w:kern w:val="0"/>
          <w:sz w:val="32"/>
          <w:szCs w:val="32"/>
          <w:highlight w:val="none"/>
          <w:lang w:val="en-US" w:eastAsia="zh-CN" w:bidi="ar"/>
        </w:rPr>
        <w:t>人社字</w:t>
      </w:r>
      <w:r>
        <w:rPr>
          <w:rFonts w:hint="eastAsia" w:ascii="仿宋_GB2312" w:hAnsi="仿宋_GB2312" w:eastAsia="仿宋_GB2312" w:cs="仿宋_GB2312"/>
          <w:b w:val="0"/>
          <w:bCs w:val="0"/>
          <w:color w:val="auto"/>
          <w:kern w:val="0"/>
          <w:sz w:val="32"/>
          <w:szCs w:val="32"/>
          <w:highlight w:val="none"/>
          <w:lang w:val="en-US" w:eastAsia="zh-CN" w:bidi="ar"/>
        </w:rPr>
        <w:t>〔</w:t>
      </w:r>
      <w:r>
        <w:rPr>
          <w:rFonts w:hint="default" w:ascii="仿宋_GB2312" w:hAnsi="仿宋_GB2312" w:eastAsia="仿宋_GB2312" w:cs="仿宋_GB2312"/>
          <w:b w:val="0"/>
          <w:bCs w:val="0"/>
          <w:color w:val="auto"/>
          <w:kern w:val="0"/>
          <w:sz w:val="32"/>
          <w:szCs w:val="32"/>
          <w:highlight w:val="none"/>
          <w:lang w:val="en-US" w:eastAsia="zh-CN" w:bidi="ar"/>
        </w:rPr>
        <w:t>2022</w:t>
      </w:r>
      <w:r>
        <w:rPr>
          <w:rFonts w:hint="eastAsia" w:ascii="仿宋_GB2312" w:hAnsi="仿宋_GB2312" w:eastAsia="仿宋_GB2312" w:cs="仿宋_GB2312"/>
          <w:b w:val="0"/>
          <w:bCs w:val="0"/>
          <w:color w:val="auto"/>
          <w:kern w:val="0"/>
          <w:sz w:val="32"/>
          <w:szCs w:val="32"/>
          <w:highlight w:val="none"/>
          <w:lang w:val="en-US" w:eastAsia="zh-CN" w:bidi="ar"/>
        </w:rPr>
        <w:t>〕228</w:t>
      </w:r>
      <w:r>
        <w:rPr>
          <w:rFonts w:hint="default" w:ascii="仿宋_GB2312" w:hAnsi="仿宋_GB2312" w:eastAsia="仿宋_GB2312" w:cs="仿宋_GB2312"/>
          <w:b w:val="0"/>
          <w:bCs w:val="0"/>
          <w:color w:val="auto"/>
          <w:kern w:val="0"/>
          <w:sz w:val="32"/>
          <w:szCs w:val="32"/>
          <w:highlight w:val="none"/>
          <w:lang w:val="en-US" w:eastAsia="zh-CN" w:bidi="ar"/>
        </w:rPr>
        <w:t>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color w:val="000000"/>
          <w:sz w:val="32"/>
          <w:szCs w:val="32"/>
          <w:highlight w:val="none"/>
          <w:lang w:val="en-US" w:eastAsia="zh-CN" w:bidi="ar"/>
        </w:rPr>
        <w:t>20.《</w:t>
      </w:r>
      <w:r>
        <w:rPr>
          <w:rFonts w:hint="eastAsia" w:ascii="仿宋_GB2312" w:hAnsi="仿宋_GB2312" w:eastAsia="仿宋_GB2312" w:cs="仿宋_GB2312"/>
          <w:color w:val="000000"/>
          <w:kern w:val="0"/>
          <w:sz w:val="32"/>
          <w:szCs w:val="32"/>
          <w:highlight w:val="none"/>
          <w:lang w:val="en-US" w:eastAsia="zh-CN" w:bidi="ar"/>
        </w:rPr>
        <w:t>德州市人力资源和社会保障局关于转发&lt;山东省人力资源和社会保障厅关于进一步做好高技能人才和专业技术人才职业发展贯通工作的通知&gt;的通知》（德人社字</w:t>
      </w:r>
      <w:r>
        <w:rPr>
          <w:rFonts w:hint="eastAsia" w:ascii="仿宋_GB2312" w:hAnsi="仿宋_GB2312" w:eastAsia="仿宋_GB2312" w:cs="仿宋_GB2312"/>
          <w:color w:val="000000"/>
          <w:sz w:val="32"/>
          <w:szCs w:val="32"/>
          <w:highlight w:val="none"/>
          <w:lang w:bidi="ar"/>
        </w:rPr>
        <w:t>〔2021〕</w:t>
      </w:r>
      <w:r>
        <w:rPr>
          <w:rFonts w:hint="eastAsia" w:ascii="仿宋_GB2312" w:hAnsi="仿宋_GB2312" w:eastAsia="仿宋_GB2312" w:cs="仿宋_GB2312"/>
          <w:color w:val="000000"/>
          <w:sz w:val="32"/>
          <w:szCs w:val="32"/>
          <w:highlight w:val="none"/>
          <w:lang w:val="en-US" w:eastAsia="zh-CN" w:bidi="ar"/>
        </w:rPr>
        <w:t>93</w:t>
      </w:r>
      <w:r>
        <w:rPr>
          <w:rFonts w:hint="eastAsia" w:ascii="仿宋_GB2312" w:hAnsi="仿宋_GB2312" w:eastAsia="仿宋_GB2312" w:cs="仿宋_GB2312"/>
          <w:color w:val="000000"/>
          <w:sz w:val="32"/>
          <w:szCs w:val="32"/>
          <w:highlight w:val="none"/>
          <w:lang w:bidi="ar"/>
        </w:rPr>
        <w:t>号</w:t>
      </w:r>
      <w:r>
        <w:rPr>
          <w:rFonts w:hint="eastAsia" w:ascii="仿宋_GB2312" w:hAnsi="仿宋_GB2312" w:eastAsia="仿宋_GB2312" w:cs="仿宋_GB2312"/>
          <w:color w:val="000000"/>
          <w:kern w:val="0"/>
          <w:sz w:val="32"/>
          <w:szCs w:val="32"/>
          <w:highlight w:val="none"/>
          <w:lang w:val="en-US" w:eastAsia="zh-CN" w:bidi="ar"/>
        </w:rPr>
        <w:t>）</w:t>
      </w:r>
    </w:p>
    <w:p>
      <w:pPr>
        <w:keepNext w:val="0"/>
        <w:keepLines w:val="0"/>
        <w:pageBreakBefore w:val="0"/>
        <w:widowControl w:val="0"/>
        <w:suppressLineNumbers w:val="0"/>
        <w:kinsoku/>
        <w:wordWrap/>
        <w:overflowPunct/>
        <w:topLinePunct w:val="0"/>
        <w:autoSpaceDE/>
        <w:autoSpaceDN/>
        <w:bidi w:val="0"/>
        <w:ind w:firstLine="640" w:firstLineChars="200"/>
        <w:jc w:val="left"/>
        <w:textAlignment w:val="auto"/>
        <w:rPr>
          <w:rFonts w:hint="eastAsia" w:ascii="Times New Roman" w:hAnsi="Times New Roman" w:eastAsia="仿宋" w:cs="Times New Roman"/>
          <w:color w:val="000000"/>
          <w:kern w:val="0"/>
          <w:sz w:val="32"/>
          <w:szCs w:val="32"/>
          <w:lang w:bidi="ar"/>
        </w:rPr>
      </w:pPr>
      <w:r>
        <w:rPr>
          <w:rFonts w:hint="eastAsia" w:ascii="仿宋_GB2312" w:hAnsi="仿宋_GB2312" w:eastAsia="仿宋_GB2312" w:cs="仿宋_GB2312"/>
          <w:color w:val="000000"/>
          <w:sz w:val="32"/>
          <w:szCs w:val="32"/>
          <w:highlight w:val="none"/>
          <w:lang w:val="en-US" w:eastAsia="zh-CN" w:bidi="ar"/>
        </w:rPr>
        <w:t>21.</w:t>
      </w:r>
      <w:r>
        <w:rPr>
          <w:rFonts w:hint="eastAsia" w:ascii="仿宋_GB2312" w:hAnsi="仿宋_GB2312" w:eastAsia="仿宋_GB2312" w:cs="仿宋_GB2312"/>
          <w:color w:val="000000"/>
          <w:kern w:val="0"/>
          <w:sz w:val="32"/>
          <w:szCs w:val="32"/>
          <w:highlight w:val="none"/>
          <w:lang w:val="en-US" w:eastAsia="zh-CN" w:bidi="ar"/>
        </w:rPr>
        <w:t>《德州市人力资源和社会保障局等6部门关于转发&lt;省人力资源社会保障厅等6部门关于加快落实基层职称制度的通知&gt;的通知》（德人社字〔2020〕82号）</w:t>
      </w:r>
      <w:bookmarkStart w:id="0" w:name="_GoBack"/>
      <w:bookmarkEnd w:id="0"/>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Times New Roman" w:hAnsi="Times New Roman" w:eastAsia="仿宋" w:cs="Times New Roman"/>
          <w:color w:val="000000"/>
          <w:kern w:val="0"/>
          <w:sz w:val="32"/>
          <w:szCs w:val="32"/>
          <w:lang w:bidi="ar"/>
        </w:rPr>
      </w:pP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Times New Roman" w:hAnsi="Times New Roman" w:eastAsia="仿宋" w:cs="Times New Roman"/>
          <w:color w:val="000000"/>
          <w:kern w:val="0"/>
          <w:sz w:val="32"/>
          <w:szCs w:val="32"/>
          <w:lang w:bidi="ar"/>
        </w:rPr>
      </w:pPr>
    </w:p>
    <w:p>
      <w:pPr>
        <w:keepNext w:val="0"/>
        <w:keepLines w:val="0"/>
        <w:pageBreakBefore w:val="0"/>
        <w:widowControl w:val="0"/>
        <w:kinsoku/>
        <w:wordWrap/>
        <w:overflowPunct/>
        <w:topLinePunct w:val="0"/>
        <w:autoSpaceDE/>
        <w:autoSpaceDN/>
        <w:bidi w:val="0"/>
        <w:adjustRightInd w:val="0"/>
        <w:snapToGrid w:val="0"/>
        <w:spacing w:line="600" w:lineRule="exact"/>
        <w:textAlignment w:val="auto"/>
        <w:rPr>
          <w:rFonts w:hint="eastAsia" w:ascii="Times New Roman" w:hAnsi="Times New Roman" w:eastAsia="仿宋" w:cs="Times New Roman"/>
          <w:color w:val="000000"/>
          <w:kern w:val="0"/>
          <w:sz w:val="32"/>
          <w:szCs w:val="32"/>
          <w:lang w:bidi="ar"/>
        </w:rPr>
      </w:pPr>
    </w:p>
    <w:sectPr>
      <w:footerReference r:id="rId3" w:type="default"/>
      <w:pgSz w:w="11906" w:h="16838"/>
      <w:pgMar w:top="1984" w:right="1701" w:bottom="1701"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86"/>
    <w:family w:val="auto"/>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CESI仿宋-GB2312">
    <w:panose1 w:val="02000500000000000000"/>
    <w:charset w:val="86"/>
    <w:family w:val="auto"/>
    <w:pitch w:val="default"/>
    <w:sig w:usb0="800002AF" w:usb1="084F6CF8" w:usb2="00000010" w:usb3="00000000" w:csb0="0004000F" w:csb1="00000000"/>
  </w:font>
  <w:font w:name="方正小标宋简体">
    <w:panose1 w:val="02000000000000000000"/>
    <w:charset w:val="86"/>
    <w:family w:val="script"/>
    <w:pitch w:val="default"/>
    <w:sig w:usb0="A00002BF" w:usb1="184F6CFA" w:usb2="00000012" w:usb3="00000000" w:csb0="00040001" w:csb1="00000000"/>
  </w:font>
  <w:font w:name="等线">
    <w:altName w:val="汉仪中宋简"/>
    <w:panose1 w:val="02010600030101010101"/>
    <w:charset w:val="86"/>
    <w:family w:val="auto"/>
    <w:pitch w:val="default"/>
    <w:sig w:usb0="00000000" w:usb1="00000000" w:usb2="00000016" w:usb3="00000000" w:csb0="0004000F" w:csb1="00000000"/>
  </w:font>
  <w:font w:name="微软雅黑">
    <w:altName w:val="黑体"/>
    <w:panose1 w:val="020B0503020204020204"/>
    <w:charset w:val="86"/>
    <w:family w:val="swiss"/>
    <w:pitch w:val="default"/>
    <w:sig w:usb0="00000000" w:usb1="00000000" w:usb2="00000016" w:usb3="00000000" w:csb0="0004001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roman"/>
    <w:pitch w:val="default"/>
    <w:sig w:usb0="00000001" w:usb1="080E0000" w:usb2="00000000" w:usb3="00000000" w:csb0="00040000" w:csb1="00000000"/>
  </w:font>
  <w:font w:name="方正书宋_GBK">
    <w:panose1 w:val="02000000000000000000"/>
    <w:charset w:val="86"/>
    <w:family w:val="auto"/>
    <w:pitch w:val="default"/>
    <w:sig w:usb0="A00002BF" w:usb1="38CF7CFA" w:usb2="00082016" w:usb3="00000000" w:csb0="00040001" w:csb1="00000000"/>
  </w:font>
  <w:font w:name="Nimbus Roman No9 L">
    <w:panose1 w:val="00000000000000000000"/>
    <w:charset w:val="00"/>
    <w:family w:val="auto"/>
    <w:pitch w:val="default"/>
    <w:sig w:usb0="00000000" w:usb1="00000000" w:usb2="00000000" w:usb3="00000000" w:csb0="00000000" w:csb1="00000000"/>
  </w:font>
  <w:font w:name="等线">
    <w:altName w:val="仿宋"/>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 w:name="Liberation Serif">
    <w:panose1 w:val="02020603050405020304"/>
    <w:charset w:val="00"/>
    <w:family w:val="auto"/>
    <w:pitch w:val="default"/>
    <w:sig w:usb0="A00002AF" w:usb1="500078FB" w:usb2="00000000" w:usb3="00000000" w:csb0="6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91795639"/>
    </w:sdtPr>
    <w:sdtContent>
      <w:p>
        <w:pPr>
          <w:pStyle w:val="5"/>
          <w:jc w:val="center"/>
        </w:pPr>
        <w:r>
          <w:fldChar w:fldCharType="begin"/>
        </w:r>
        <w:r>
          <w:instrText xml:space="preserve">PAGE   \* MERGEFORMAT</w:instrText>
        </w:r>
        <w:r>
          <w:fldChar w:fldCharType="separate"/>
        </w:r>
        <w:r>
          <w:rPr>
            <w:lang w:val="zh-CN"/>
          </w:rPr>
          <w:t>2</w:t>
        </w:r>
        <w:r>
          <w:fldChar w:fldCharType="end"/>
        </w:r>
      </w:p>
    </w:sdtContent>
  </w:sdt>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true"/>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E3NDk4YzFlMjdhOTAyNDdhN2ZiNTQ3ZmVjMzhkYTUifQ=="/>
  </w:docVars>
  <w:rsids>
    <w:rsidRoot w:val="006E1503"/>
    <w:rsid w:val="00021037"/>
    <w:rsid w:val="0002442D"/>
    <w:rsid w:val="000277B2"/>
    <w:rsid w:val="00037660"/>
    <w:rsid w:val="00043C65"/>
    <w:rsid w:val="000552A4"/>
    <w:rsid w:val="00067CE7"/>
    <w:rsid w:val="00076993"/>
    <w:rsid w:val="000B206F"/>
    <w:rsid w:val="000C5CD9"/>
    <w:rsid w:val="00112817"/>
    <w:rsid w:val="00116FB8"/>
    <w:rsid w:val="00117403"/>
    <w:rsid w:val="00120D3B"/>
    <w:rsid w:val="00127778"/>
    <w:rsid w:val="00131BB6"/>
    <w:rsid w:val="00172BA5"/>
    <w:rsid w:val="00181B9E"/>
    <w:rsid w:val="0018484F"/>
    <w:rsid w:val="00192810"/>
    <w:rsid w:val="002019ED"/>
    <w:rsid w:val="0022353B"/>
    <w:rsid w:val="00233A47"/>
    <w:rsid w:val="002469AA"/>
    <w:rsid w:val="00247182"/>
    <w:rsid w:val="002520F5"/>
    <w:rsid w:val="0025752C"/>
    <w:rsid w:val="00275EE9"/>
    <w:rsid w:val="002A303E"/>
    <w:rsid w:val="002A632F"/>
    <w:rsid w:val="002D6D62"/>
    <w:rsid w:val="00305A40"/>
    <w:rsid w:val="003158CD"/>
    <w:rsid w:val="003168FF"/>
    <w:rsid w:val="00331763"/>
    <w:rsid w:val="00332087"/>
    <w:rsid w:val="00337011"/>
    <w:rsid w:val="00382D76"/>
    <w:rsid w:val="003831D0"/>
    <w:rsid w:val="00391889"/>
    <w:rsid w:val="003A5760"/>
    <w:rsid w:val="003C6AA5"/>
    <w:rsid w:val="004029F4"/>
    <w:rsid w:val="00405C61"/>
    <w:rsid w:val="004170D7"/>
    <w:rsid w:val="0042543F"/>
    <w:rsid w:val="004407BF"/>
    <w:rsid w:val="0047004A"/>
    <w:rsid w:val="0047010A"/>
    <w:rsid w:val="00492CFE"/>
    <w:rsid w:val="00493C7C"/>
    <w:rsid w:val="004B79D7"/>
    <w:rsid w:val="004C1FDA"/>
    <w:rsid w:val="004C3415"/>
    <w:rsid w:val="004C6BE6"/>
    <w:rsid w:val="0052606E"/>
    <w:rsid w:val="0053141F"/>
    <w:rsid w:val="00533513"/>
    <w:rsid w:val="00561A76"/>
    <w:rsid w:val="005670CB"/>
    <w:rsid w:val="005709C2"/>
    <w:rsid w:val="00586A71"/>
    <w:rsid w:val="005A4722"/>
    <w:rsid w:val="005A4C9D"/>
    <w:rsid w:val="005A61C6"/>
    <w:rsid w:val="005D016C"/>
    <w:rsid w:val="005D0282"/>
    <w:rsid w:val="005F71C7"/>
    <w:rsid w:val="006009EF"/>
    <w:rsid w:val="00604F8A"/>
    <w:rsid w:val="006075F2"/>
    <w:rsid w:val="0062074B"/>
    <w:rsid w:val="00674265"/>
    <w:rsid w:val="0067699A"/>
    <w:rsid w:val="00677666"/>
    <w:rsid w:val="00694348"/>
    <w:rsid w:val="006951EC"/>
    <w:rsid w:val="006B4002"/>
    <w:rsid w:val="006B512E"/>
    <w:rsid w:val="006D558C"/>
    <w:rsid w:val="006E1503"/>
    <w:rsid w:val="00721E7A"/>
    <w:rsid w:val="00740001"/>
    <w:rsid w:val="00754D22"/>
    <w:rsid w:val="00755257"/>
    <w:rsid w:val="00756B23"/>
    <w:rsid w:val="007A2536"/>
    <w:rsid w:val="007C20AD"/>
    <w:rsid w:val="007C7101"/>
    <w:rsid w:val="007D22D0"/>
    <w:rsid w:val="007D7C71"/>
    <w:rsid w:val="007F2B63"/>
    <w:rsid w:val="007F73F5"/>
    <w:rsid w:val="008118B2"/>
    <w:rsid w:val="00845E1A"/>
    <w:rsid w:val="00857083"/>
    <w:rsid w:val="008616B5"/>
    <w:rsid w:val="00865873"/>
    <w:rsid w:val="0087035E"/>
    <w:rsid w:val="00886C6A"/>
    <w:rsid w:val="008A661F"/>
    <w:rsid w:val="008B5A08"/>
    <w:rsid w:val="008D158B"/>
    <w:rsid w:val="009420CC"/>
    <w:rsid w:val="00966E74"/>
    <w:rsid w:val="00970A71"/>
    <w:rsid w:val="00971EAF"/>
    <w:rsid w:val="009E3908"/>
    <w:rsid w:val="00A30EFA"/>
    <w:rsid w:val="00A315A0"/>
    <w:rsid w:val="00A36272"/>
    <w:rsid w:val="00A54F7C"/>
    <w:rsid w:val="00A57C71"/>
    <w:rsid w:val="00A86ED2"/>
    <w:rsid w:val="00AA4074"/>
    <w:rsid w:val="00AB340E"/>
    <w:rsid w:val="00AC1B89"/>
    <w:rsid w:val="00AE2ED9"/>
    <w:rsid w:val="00AE4F71"/>
    <w:rsid w:val="00AE59AF"/>
    <w:rsid w:val="00B26AE7"/>
    <w:rsid w:val="00B45F37"/>
    <w:rsid w:val="00B462E9"/>
    <w:rsid w:val="00B54AE1"/>
    <w:rsid w:val="00B63069"/>
    <w:rsid w:val="00B827F9"/>
    <w:rsid w:val="00BC5E25"/>
    <w:rsid w:val="00BD6FD4"/>
    <w:rsid w:val="00BE6E47"/>
    <w:rsid w:val="00BF35F2"/>
    <w:rsid w:val="00C3417F"/>
    <w:rsid w:val="00C669AC"/>
    <w:rsid w:val="00C77C87"/>
    <w:rsid w:val="00CB429C"/>
    <w:rsid w:val="00CD72D9"/>
    <w:rsid w:val="00CE2E30"/>
    <w:rsid w:val="00D178B7"/>
    <w:rsid w:val="00D613AC"/>
    <w:rsid w:val="00D74541"/>
    <w:rsid w:val="00D96728"/>
    <w:rsid w:val="00DC0EC7"/>
    <w:rsid w:val="00DD11CA"/>
    <w:rsid w:val="00DF74AD"/>
    <w:rsid w:val="00DF7886"/>
    <w:rsid w:val="00E36847"/>
    <w:rsid w:val="00E512DB"/>
    <w:rsid w:val="00E67C95"/>
    <w:rsid w:val="00E764DC"/>
    <w:rsid w:val="00E768DD"/>
    <w:rsid w:val="00E93E2B"/>
    <w:rsid w:val="00E94E89"/>
    <w:rsid w:val="00EA0EA1"/>
    <w:rsid w:val="00ED6E0C"/>
    <w:rsid w:val="00F10DCF"/>
    <w:rsid w:val="00F13C29"/>
    <w:rsid w:val="00F21D46"/>
    <w:rsid w:val="00F32024"/>
    <w:rsid w:val="00F36309"/>
    <w:rsid w:val="00F374BA"/>
    <w:rsid w:val="00F8283C"/>
    <w:rsid w:val="00FD1E4D"/>
    <w:rsid w:val="00FE2011"/>
    <w:rsid w:val="00FE2551"/>
    <w:rsid w:val="00FE5166"/>
    <w:rsid w:val="03B713D9"/>
    <w:rsid w:val="09C71418"/>
    <w:rsid w:val="0C3506B3"/>
    <w:rsid w:val="0EF6CE6A"/>
    <w:rsid w:val="0FFFCAF6"/>
    <w:rsid w:val="12463A47"/>
    <w:rsid w:val="12F76C92"/>
    <w:rsid w:val="1665046D"/>
    <w:rsid w:val="18263E23"/>
    <w:rsid w:val="1B2E71CB"/>
    <w:rsid w:val="1E9D448E"/>
    <w:rsid w:val="25895B6B"/>
    <w:rsid w:val="2BFE6B64"/>
    <w:rsid w:val="2DF1627E"/>
    <w:rsid w:val="30DB27EF"/>
    <w:rsid w:val="37F8A9B3"/>
    <w:rsid w:val="38D7441A"/>
    <w:rsid w:val="3B562D27"/>
    <w:rsid w:val="3C5E06D8"/>
    <w:rsid w:val="3CDE3E80"/>
    <w:rsid w:val="41AF4B00"/>
    <w:rsid w:val="444820B7"/>
    <w:rsid w:val="47FB970D"/>
    <w:rsid w:val="493173A4"/>
    <w:rsid w:val="4AFF1CC0"/>
    <w:rsid w:val="4CBE3D9B"/>
    <w:rsid w:val="4D5C67C5"/>
    <w:rsid w:val="519F0AD6"/>
    <w:rsid w:val="5B1A3638"/>
    <w:rsid w:val="5BFAA4A9"/>
    <w:rsid w:val="5EEC170C"/>
    <w:rsid w:val="5FFBDDA7"/>
    <w:rsid w:val="6485431D"/>
    <w:rsid w:val="64E05685"/>
    <w:rsid w:val="6963352F"/>
    <w:rsid w:val="699839FF"/>
    <w:rsid w:val="6A3F1EFB"/>
    <w:rsid w:val="6E8D3D63"/>
    <w:rsid w:val="6F3B3A8D"/>
    <w:rsid w:val="6FFD67FE"/>
    <w:rsid w:val="719E1D3F"/>
    <w:rsid w:val="735672FA"/>
    <w:rsid w:val="793FFC6A"/>
    <w:rsid w:val="7BF7518E"/>
    <w:rsid w:val="7D644EDE"/>
    <w:rsid w:val="7D8E244B"/>
    <w:rsid w:val="7DBF9569"/>
    <w:rsid w:val="7E6679C0"/>
    <w:rsid w:val="7FBBF012"/>
    <w:rsid w:val="7FBF0233"/>
    <w:rsid w:val="7FCAFF89"/>
    <w:rsid w:val="99BBE2E9"/>
    <w:rsid w:val="9DEB6FF3"/>
    <w:rsid w:val="9FCF5FE7"/>
    <w:rsid w:val="BA973EC6"/>
    <w:rsid w:val="BABF1D65"/>
    <w:rsid w:val="BD5D79E6"/>
    <w:rsid w:val="BF7D77C4"/>
    <w:rsid w:val="BFE7AA3D"/>
    <w:rsid w:val="C3DCF05A"/>
    <w:rsid w:val="CAF185D9"/>
    <w:rsid w:val="CCFA775F"/>
    <w:rsid w:val="CDF6DCA5"/>
    <w:rsid w:val="DBBCADE6"/>
    <w:rsid w:val="DBCB6F7E"/>
    <w:rsid w:val="DE156157"/>
    <w:rsid w:val="EF69E705"/>
    <w:rsid w:val="EFBE27C5"/>
    <w:rsid w:val="EFDA1BF3"/>
    <w:rsid w:val="F3F06D85"/>
    <w:rsid w:val="F5673094"/>
    <w:rsid w:val="F7FFFA29"/>
    <w:rsid w:val="FADFDE09"/>
    <w:rsid w:val="FBB58315"/>
    <w:rsid w:val="FBD5CCAC"/>
    <w:rsid w:val="FDFA1F75"/>
    <w:rsid w:val="FEBE3EF4"/>
    <w:rsid w:val="FEEEE5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2"/>
    <w:basedOn w:val="1"/>
    <w:next w:val="1"/>
    <w:link w:val="12"/>
    <w:qFormat/>
    <w:uiPriority w:val="9"/>
    <w:pPr>
      <w:widowControl/>
      <w:spacing w:before="100" w:beforeAutospacing="1" w:after="100" w:afterAutospacing="1"/>
      <w:jc w:val="left"/>
      <w:outlineLvl w:val="1"/>
    </w:pPr>
    <w:rPr>
      <w:rFonts w:ascii="宋体" w:hAnsi="宋体" w:eastAsia="宋体" w:cs="宋体"/>
      <w:b/>
      <w:bCs/>
      <w:kern w:val="0"/>
      <w:sz w:val="36"/>
      <w:szCs w:val="36"/>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after="120" w:afterLines="0" w:afterAutospacing="0"/>
    </w:pPr>
  </w:style>
  <w:style w:type="paragraph" w:styleId="4">
    <w:name w:val="Date"/>
    <w:basedOn w:val="1"/>
    <w:next w:val="1"/>
    <w:link w:val="15"/>
    <w:semiHidden/>
    <w:unhideWhenUsed/>
    <w:qFormat/>
    <w:uiPriority w:val="99"/>
    <w:pPr>
      <w:ind w:left="100" w:leftChars="2500"/>
    </w:pPr>
  </w:style>
  <w:style w:type="paragraph" w:styleId="5">
    <w:name w:val="footer"/>
    <w:basedOn w:val="1"/>
    <w:link w:val="14"/>
    <w:unhideWhenUsed/>
    <w:qFormat/>
    <w:uiPriority w:val="99"/>
    <w:pPr>
      <w:tabs>
        <w:tab w:val="center" w:pos="4153"/>
        <w:tab w:val="right" w:pos="8306"/>
      </w:tabs>
      <w:snapToGrid w:val="0"/>
      <w:jc w:val="left"/>
    </w:pPr>
    <w:rPr>
      <w:sz w:val="18"/>
      <w:szCs w:val="18"/>
    </w:rPr>
  </w:style>
  <w:style w:type="paragraph" w:styleId="6">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10">
    <w:name w:val="Emphasis"/>
    <w:basedOn w:val="9"/>
    <w:qFormat/>
    <w:uiPriority w:val="20"/>
    <w:rPr>
      <w:i/>
      <w:iCs/>
    </w:rPr>
  </w:style>
  <w:style w:type="character" w:styleId="11">
    <w:name w:val="Hyperlink"/>
    <w:basedOn w:val="9"/>
    <w:semiHidden/>
    <w:unhideWhenUsed/>
    <w:qFormat/>
    <w:uiPriority w:val="99"/>
    <w:rPr>
      <w:color w:val="0000FF"/>
      <w:u w:val="single"/>
    </w:rPr>
  </w:style>
  <w:style w:type="character" w:customStyle="1" w:styleId="12">
    <w:name w:val="标题 2 字符"/>
    <w:basedOn w:val="9"/>
    <w:link w:val="3"/>
    <w:qFormat/>
    <w:uiPriority w:val="9"/>
    <w:rPr>
      <w:rFonts w:ascii="宋体" w:hAnsi="宋体" w:eastAsia="宋体" w:cs="宋体"/>
      <w:b/>
      <w:bCs/>
      <w:kern w:val="0"/>
      <w:sz w:val="36"/>
      <w:szCs w:val="36"/>
    </w:rPr>
  </w:style>
  <w:style w:type="character" w:customStyle="1" w:styleId="13">
    <w:name w:val="页眉 字符"/>
    <w:basedOn w:val="9"/>
    <w:link w:val="6"/>
    <w:qFormat/>
    <w:uiPriority w:val="99"/>
    <w:rPr>
      <w:sz w:val="18"/>
      <w:szCs w:val="18"/>
    </w:rPr>
  </w:style>
  <w:style w:type="character" w:customStyle="1" w:styleId="14">
    <w:name w:val="页脚 字符"/>
    <w:basedOn w:val="9"/>
    <w:link w:val="5"/>
    <w:qFormat/>
    <w:uiPriority w:val="99"/>
    <w:rPr>
      <w:sz w:val="18"/>
      <w:szCs w:val="18"/>
    </w:rPr>
  </w:style>
  <w:style w:type="character" w:customStyle="1" w:styleId="15">
    <w:name w:val="日期 字符"/>
    <w:basedOn w:val="9"/>
    <w:link w:val="4"/>
    <w:semiHidden/>
    <w:qFormat/>
    <w:uiPriority w:val="99"/>
    <w:rPr>
      <w:kern w:val="2"/>
      <w:sz w:val="21"/>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20</Pages>
  <Words>9062</Words>
  <Characters>9413</Characters>
  <Lines>57</Lines>
  <Paragraphs>16</Paragraphs>
  <TotalTime>17</TotalTime>
  <ScaleCrop>false</ScaleCrop>
  <LinksUpToDate>false</LinksUpToDate>
  <CharactersWithSpaces>9413</CharactersWithSpaces>
  <Application>WPS Office_11.8.2.10386_F1E327BC-269C-435d-A152-05C5408002CA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2021-07-16T17:44:00Z</dcterms:created>
  <dc:creator>张 淑芹</dc:creator>
  <cp:lastModifiedBy>user</cp:lastModifiedBy>
  <cp:lastPrinted>2021-08-19T18:58:00Z</cp:lastPrinted>
  <dcterms:modified xsi:type="dcterms:W3CDTF">2023-07-17T08:43:27Z</dcterms:modified>
  <cp:revision>73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2052-11.8.2.10386</vt:lpwstr>
  </property>
  <property fmtid="{D5CDD505-2E9C-101B-9397-08002B2CF9AE}" pid="3" name="ICV">
    <vt:lpwstr>754917E4D0634DB88B65472D6A97380D</vt:lpwstr>
  </property>
</Properties>
</file>