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shd w:val="clear" w:color="auto" w:fill="FFFFFF"/>
        </w:rPr>
        <w:t>附件: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ind w:firstLine="48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景宁畲族自治县20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年卫生人才定向培养岗位一览表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 xml:space="preserve">     </w:t>
      </w:r>
    </w:p>
    <w:tbl>
      <w:tblPr>
        <w:tblStyle w:val="3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282"/>
        <w:gridCol w:w="1094"/>
        <w:gridCol w:w="987"/>
        <w:gridCol w:w="850"/>
        <w:gridCol w:w="1475"/>
        <w:gridCol w:w="1582"/>
        <w:gridCol w:w="7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1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定向培养单位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名称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学历层次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计划人数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承办院校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学习费用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8"/>
                <w:szCs w:val="28"/>
                <w:shd w:val="clear" w:color="auto" w:fill="FFFFFF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景宁畲族自治县人民医院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临床医学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温州医科大学(最低投档成绩不低于特殊类型招生控制线）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景宁畲族自治县人民医院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中医学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浙江中医药大学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(最低投档成绩不低于特殊类型招生控制线）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3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景宁畲族自治县县域医共体成员单位（乡镇卫生院）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临床医学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温州医科大学(最低投档成绩不低于特殊类型招生控制线）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4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景宁畲族自治县县域医共体成员单位（乡镇卫生院）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预防医学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温州医科大学(最低投档成绩不低于特殊类型招生控制线）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5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景宁畲族自治县县域医共体成员单位（乡镇卫生院）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医学影像学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温州医科大学(最低投档成绩不低于特殊类型招生控制线）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7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6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景宁畲族自治县县域医共体成员单位（乡镇卫生院）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护理学</w:t>
            </w:r>
          </w:p>
        </w:tc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本科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val="en-US" w:eastAsia="zh-CN"/>
              </w:rPr>
              <w:t>2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  <w:t>丽水学院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  <w:t>实行学习费用补助政策</w:t>
            </w:r>
          </w:p>
        </w:tc>
        <w:tc>
          <w:tcPr>
            <w:tcW w:w="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solid" w:color="FFFFFF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solid" w:color="FFFFFF" w:fill="auto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1E0C36"/>
    <w:rsid w:val="7ECC2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font11"/>
    <w:basedOn w:val="4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2023-06-13T09:34:00Z</dcterms:created>
  <dc:creator>Administrator</dc:creator>
  <cp:lastModifiedBy>。</cp:lastModifiedBy>
  <dcterms:modified xsi:type="dcterms:W3CDTF">2023-06-13T11:42:00Z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