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420" w:lineRule="atLeast"/>
        <w:jc w:val="center"/>
        <w:rPr>
          <w:rFonts w:hint="default" w:ascii="仿宋" w:hAnsi="仿宋" w:eastAsia="仿宋" w:cs="仿宋"/>
          <w:b/>
          <w:bCs/>
          <w:color w:val="000000"/>
          <w:kern w:val="0"/>
          <w:sz w:val="44"/>
          <w:szCs w:val="44"/>
          <w:lang w:val="en-US" w:eastAsia="zh-CN"/>
        </w:rPr>
      </w:pPr>
      <w:r>
        <w:rPr>
          <w:rFonts w:hint="eastAsia" w:ascii="仿宋" w:hAnsi="仿宋" w:eastAsia="仿宋" w:cs="仿宋"/>
          <w:b/>
          <w:bCs/>
          <w:color w:val="000000"/>
          <w:kern w:val="0"/>
          <w:sz w:val="44"/>
          <w:szCs w:val="44"/>
          <w:lang w:val="en-US" w:eastAsia="zh-CN"/>
        </w:rPr>
        <w:t>上饶市广丰区中医院</w:t>
      </w:r>
      <w:r>
        <w:rPr>
          <w:rFonts w:hint="eastAsia" w:ascii="仿宋" w:hAnsi="仿宋" w:eastAsia="仿宋" w:cs="仿宋"/>
          <w:b/>
          <w:bCs/>
          <w:color w:val="000000"/>
          <w:kern w:val="0"/>
          <w:sz w:val="44"/>
          <w:szCs w:val="44"/>
        </w:rPr>
        <w:t>招聘</w:t>
      </w:r>
      <w:r>
        <w:rPr>
          <w:rFonts w:hint="eastAsia" w:ascii="仿宋" w:hAnsi="仿宋" w:eastAsia="仿宋" w:cs="仿宋"/>
          <w:b/>
          <w:bCs/>
          <w:color w:val="000000"/>
          <w:kern w:val="0"/>
          <w:sz w:val="44"/>
          <w:szCs w:val="44"/>
          <w:lang w:val="en-US" w:eastAsia="zh-CN"/>
        </w:rPr>
        <w:t>3名医师公告</w:t>
      </w:r>
    </w:p>
    <w:p>
      <w:pPr>
        <w:widowControl/>
        <w:spacing w:line="240" w:lineRule="exact"/>
        <w:jc w:val="left"/>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rPr>
        <w:t> </w:t>
      </w:r>
    </w:p>
    <w:p>
      <w:pPr>
        <w:numPr>
          <w:ilvl w:val="0"/>
          <w:numId w:val="0"/>
        </w:numPr>
        <w:ind w:leftChars="0" w:firstLine="600" w:firstLineChars="200"/>
        <w:rPr>
          <w:rFonts w:hint="eastAsia" w:ascii="仿宋" w:hAnsi="仿宋" w:eastAsia="仿宋" w:cs="仿宋"/>
          <w:sz w:val="30"/>
          <w:szCs w:val="30"/>
          <w:lang w:val="en-US" w:eastAsia="zh-CN"/>
        </w:rPr>
      </w:pPr>
    </w:p>
    <w:p>
      <w:pPr>
        <w:numPr>
          <w:ilvl w:val="0"/>
          <w:numId w:val="0"/>
        </w:numPr>
        <w:ind w:leftChars="0" w:firstLine="600" w:firstLineChars="200"/>
        <w:rPr>
          <w:rFonts w:hint="default" w:ascii="仿宋" w:hAnsi="仿宋" w:eastAsia="仿宋" w:cs="仿宋"/>
          <w:sz w:val="30"/>
          <w:szCs w:val="30"/>
          <w:lang w:val="en-US" w:eastAsia="zh-CN"/>
        </w:rPr>
      </w:pPr>
      <w:r>
        <w:rPr>
          <w:rFonts w:hint="eastAsia" w:ascii="仿宋" w:hAnsi="仿宋" w:eastAsia="仿宋" w:cs="仿宋"/>
          <w:sz w:val="30"/>
          <w:szCs w:val="30"/>
          <w:lang w:val="en-US" w:eastAsia="zh-CN"/>
        </w:rPr>
        <w:t>根据医院发展需求，经医院会议研究并报主管部门审批同意，上饶市广丰区中医院现面向社会</w:t>
      </w:r>
      <w:bookmarkStart w:id="0" w:name="_GoBack"/>
      <w:bookmarkEnd w:id="0"/>
      <w:r>
        <w:rPr>
          <w:rFonts w:hint="eastAsia" w:ascii="仿宋" w:hAnsi="仿宋" w:eastAsia="仿宋" w:cs="仿宋"/>
          <w:sz w:val="30"/>
          <w:szCs w:val="30"/>
          <w:lang w:val="en-US" w:eastAsia="zh-CN"/>
        </w:rPr>
        <w:t>公开招聘3名医师，其中普外科医师1名，驻二所（广丰区看守所、广丰区拘留所）医师2名。具体内容如下：</w:t>
      </w:r>
    </w:p>
    <w:p>
      <w:pPr>
        <w:numPr>
          <w:ilvl w:val="0"/>
          <w:numId w:val="0"/>
        </w:numPr>
        <w:ind w:leftChars="0" w:firstLine="600" w:firstLineChars="200"/>
        <w:rPr>
          <w:rFonts w:hint="default" w:ascii="仿宋" w:hAnsi="仿宋" w:eastAsia="仿宋" w:cs="仿宋"/>
          <w:sz w:val="30"/>
          <w:szCs w:val="30"/>
          <w:lang w:val="en-US" w:eastAsia="zh-CN"/>
        </w:rPr>
      </w:pPr>
      <w:r>
        <w:rPr>
          <w:rFonts w:hint="eastAsia" w:ascii="仿宋" w:hAnsi="仿宋" w:eastAsia="仿宋" w:cs="仿宋"/>
          <w:sz w:val="30"/>
          <w:szCs w:val="30"/>
          <w:lang w:val="en-US" w:eastAsia="zh-CN"/>
        </w:rPr>
        <w:t>一、招聘方式、岗位及报考条件</w:t>
      </w:r>
    </w:p>
    <w:p>
      <w:pPr>
        <w:widowControl/>
        <w:spacing w:line="240" w:lineRule="auto"/>
        <w:ind w:firstLine="600" w:firstLineChars="200"/>
        <w:rPr>
          <w:rFonts w:hint="eastAsia" w:ascii="仿宋" w:hAnsi="仿宋" w:eastAsia="仿宋" w:cs="仿宋"/>
          <w:bCs/>
          <w:color w:val="000000"/>
          <w:kern w:val="0"/>
          <w:sz w:val="30"/>
          <w:szCs w:val="30"/>
        </w:rPr>
      </w:pPr>
      <w:r>
        <w:rPr>
          <w:rFonts w:hint="eastAsia" w:ascii="仿宋" w:hAnsi="仿宋" w:eastAsia="仿宋" w:cs="仿宋"/>
          <w:bCs/>
          <w:color w:val="000000"/>
          <w:kern w:val="0"/>
          <w:sz w:val="30"/>
          <w:szCs w:val="30"/>
          <w:lang w:eastAsia="zh-CN"/>
        </w:rPr>
        <w:t>（</w:t>
      </w:r>
      <w:r>
        <w:rPr>
          <w:rFonts w:hint="eastAsia" w:ascii="仿宋" w:hAnsi="仿宋" w:eastAsia="仿宋" w:cs="仿宋"/>
          <w:bCs/>
          <w:color w:val="000000"/>
          <w:kern w:val="0"/>
          <w:sz w:val="30"/>
          <w:szCs w:val="30"/>
          <w:lang w:val="en-US" w:eastAsia="zh-CN"/>
        </w:rPr>
        <w:t>一</w:t>
      </w:r>
      <w:r>
        <w:rPr>
          <w:rFonts w:hint="eastAsia" w:ascii="仿宋" w:hAnsi="仿宋" w:eastAsia="仿宋" w:cs="仿宋"/>
          <w:bCs/>
          <w:color w:val="000000"/>
          <w:kern w:val="0"/>
          <w:sz w:val="30"/>
          <w:szCs w:val="30"/>
          <w:lang w:eastAsia="zh-CN"/>
        </w:rPr>
        <w:t>）</w:t>
      </w:r>
      <w:r>
        <w:rPr>
          <w:rFonts w:hint="eastAsia" w:ascii="仿宋" w:hAnsi="仿宋" w:eastAsia="仿宋" w:cs="仿宋"/>
          <w:bCs/>
          <w:color w:val="000000"/>
          <w:kern w:val="0"/>
          <w:sz w:val="30"/>
          <w:szCs w:val="30"/>
        </w:rPr>
        <w:t xml:space="preserve">招聘方式 </w:t>
      </w:r>
    </w:p>
    <w:p>
      <w:pPr>
        <w:widowControl/>
        <w:spacing w:line="240" w:lineRule="auto"/>
        <w:ind w:firstLine="600" w:firstLineChars="200"/>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lang w:val="en-US" w:eastAsia="zh-CN"/>
        </w:rPr>
        <w:t>1、</w:t>
      </w:r>
      <w:r>
        <w:rPr>
          <w:rFonts w:hint="eastAsia" w:ascii="仿宋" w:hAnsi="仿宋" w:eastAsia="仿宋" w:cs="仿宋"/>
          <w:color w:val="000000"/>
          <w:kern w:val="0"/>
          <w:sz w:val="30"/>
          <w:szCs w:val="30"/>
        </w:rPr>
        <w:t>坚持“公开、公平、公正、择优”的原则，采取</w:t>
      </w:r>
      <w:r>
        <w:rPr>
          <w:rFonts w:hint="eastAsia" w:ascii="仿宋" w:hAnsi="仿宋" w:eastAsia="仿宋" w:cs="仿宋"/>
          <w:color w:val="000000"/>
          <w:kern w:val="0"/>
          <w:sz w:val="30"/>
          <w:szCs w:val="30"/>
          <w:lang w:val="en-US" w:eastAsia="zh-CN"/>
        </w:rPr>
        <w:t>综合</w:t>
      </w:r>
      <w:r>
        <w:rPr>
          <w:rFonts w:hint="eastAsia" w:ascii="仿宋" w:hAnsi="仿宋" w:eastAsia="仿宋" w:cs="仿宋"/>
          <w:color w:val="000000"/>
          <w:kern w:val="0"/>
          <w:sz w:val="30"/>
          <w:szCs w:val="30"/>
        </w:rPr>
        <w:t>面试的方式择优录用，</w:t>
      </w:r>
      <w:r>
        <w:rPr>
          <w:rFonts w:hint="eastAsia" w:ascii="仿宋" w:hAnsi="仿宋" w:eastAsia="仿宋" w:cs="仿宋"/>
          <w:color w:val="000000"/>
          <w:kern w:val="0"/>
          <w:sz w:val="30"/>
          <w:szCs w:val="30"/>
          <w:lang w:val="en-US" w:eastAsia="zh-CN"/>
        </w:rPr>
        <w:t>此次招聘工作在区卫健委、驻卫健委纪检监察组全程参与和监督下进行，并</w:t>
      </w:r>
      <w:r>
        <w:rPr>
          <w:rFonts w:hint="eastAsia" w:ascii="仿宋" w:hAnsi="仿宋" w:eastAsia="仿宋" w:cs="仿宋"/>
          <w:color w:val="000000"/>
          <w:kern w:val="0"/>
          <w:sz w:val="30"/>
          <w:szCs w:val="30"/>
        </w:rPr>
        <w:t>接受社会监督。</w:t>
      </w:r>
    </w:p>
    <w:p>
      <w:pPr>
        <w:widowControl/>
        <w:spacing w:line="240" w:lineRule="auto"/>
        <w:ind w:firstLine="600" w:firstLineChars="200"/>
        <w:rPr>
          <w:rFonts w:hint="default" w:ascii="仿宋" w:hAnsi="仿宋" w:eastAsia="仿宋" w:cs="仿宋"/>
          <w:color w:val="000000"/>
          <w:kern w:val="0"/>
          <w:sz w:val="30"/>
          <w:szCs w:val="30"/>
          <w:lang w:val="en-US" w:eastAsia="zh-CN"/>
        </w:rPr>
      </w:pPr>
      <w:r>
        <w:rPr>
          <w:rFonts w:hint="eastAsia" w:ascii="仿宋" w:hAnsi="仿宋" w:eastAsia="仿宋" w:cs="仿宋"/>
          <w:color w:val="000000"/>
          <w:kern w:val="0"/>
          <w:sz w:val="30"/>
          <w:szCs w:val="30"/>
          <w:lang w:val="en-US" w:eastAsia="zh-CN"/>
        </w:rPr>
        <w:t>2、年龄计算方法：35周岁及以下（1988年1月1日及以后出生），40周岁及以下（1983年1月1日及以后出生），年龄以身份证为准。</w:t>
      </w:r>
    </w:p>
    <w:p>
      <w:pPr>
        <w:widowControl/>
        <w:numPr>
          <w:ilvl w:val="0"/>
          <w:numId w:val="0"/>
        </w:numPr>
        <w:spacing w:line="240" w:lineRule="auto"/>
        <w:ind w:firstLine="600" w:firstLineChars="200"/>
        <w:rPr>
          <w:rFonts w:hint="eastAsia" w:ascii="仿宋" w:hAnsi="仿宋" w:eastAsia="仿宋" w:cs="仿宋"/>
          <w:bCs/>
          <w:color w:val="000000"/>
          <w:kern w:val="0"/>
          <w:sz w:val="30"/>
          <w:szCs w:val="30"/>
          <w:lang w:val="en-US"/>
        </w:rPr>
      </w:pPr>
      <w:r>
        <w:rPr>
          <w:rFonts w:hint="eastAsia" w:ascii="仿宋" w:hAnsi="仿宋" w:eastAsia="仿宋" w:cs="仿宋"/>
          <w:bCs/>
          <w:color w:val="000000"/>
          <w:kern w:val="0"/>
          <w:sz w:val="30"/>
          <w:szCs w:val="30"/>
          <w:lang w:eastAsia="zh-CN"/>
        </w:rPr>
        <w:t>（</w:t>
      </w:r>
      <w:r>
        <w:rPr>
          <w:rFonts w:hint="eastAsia" w:ascii="仿宋" w:hAnsi="仿宋" w:eastAsia="仿宋" w:cs="仿宋"/>
          <w:bCs/>
          <w:color w:val="000000"/>
          <w:kern w:val="0"/>
          <w:sz w:val="30"/>
          <w:szCs w:val="30"/>
          <w:lang w:val="en-US" w:eastAsia="zh-CN"/>
        </w:rPr>
        <w:t>二</w:t>
      </w:r>
      <w:r>
        <w:rPr>
          <w:rFonts w:hint="eastAsia" w:ascii="仿宋" w:hAnsi="仿宋" w:eastAsia="仿宋" w:cs="仿宋"/>
          <w:bCs/>
          <w:color w:val="000000"/>
          <w:kern w:val="0"/>
          <w:sz w:val="30"/>
          <w:szCs w:val="30"/>
          <w:lang w:eastAsia="zh-CN"/>
        </w:rPr>
        <w:t>）</w:t>
      </w:r>
      <w:r>
        <w:rPr>
          <w:rFonts w:hint="eastAsia" w:ascii="仿宋" w:hAnsi="仿宋" w:eastAsia="仿宋" w:cs="仿宋"/>
          <w:bCs/>
          <w:color w:val="000000"/>
          <w:kern w:val="0"/>
          <w:sz w:val="30"/>
          <w:szCs w:val="30"/>
        </w:rPr>
        <w:t>招聘</w:t>
      </w:r>
      <w:r>
        <w:rPr>
          <w:rFonts w:hint="eastAsia" w:ascii="仿宋" w:hAnsi="仿宋" w:eastAsia="仿宋" w:cs="仿宋"/>
          <w:bCs/>
          <w:color w:val="000000"/>
          <w:kern w:val="0"/>
          <w:sz w:val="30"/>
          <w:szCs w:val="30"/>
          <w:lang w:val="en-US" w:eastAsia="zh-CN"/>
        </w:rPr>
        <w:t>岗位</w:t>
      </w:r>
    </w:p>
    <w:tbl>
      <w:tblPr>
        <w:tblStyle w:val="4"/>
        <w:tblW w:w="99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7"/>
        <w:gridCol w:w="1925"/>
        <w:gridCol w:w="818"/>
        <w:gridCol w:w="1835"/>
        <w:gridCol w:w="1824"/>
        <w:gridCol w:w="764"/>
        <w:gridCol w:w="20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2" w:hRule="atLeast"/>
          <w:jc w:val="center"/>
        </w:trPr>
        <w:tc>
          <w:tcPr>
            <w:tcW w:w="727" w:type="dxa"/>
            <w:vAlign w:val="center"/>
          </w:tcPr>
          <w:p>
            <w:pPr>
              <w:widowControl/>
              <w:numPr>
                <w:ilvl w:val="0"/>
                <w:numId w:val="0"/>
              </w:numPr>
              <w:spacing w:line="240" w:lineRule="auto"/>
              <w:jc w:val="center"/>
              <w:rPr>
                <w:rFonts w:hint="eastAsia" w:ascii="仿宋" w:hAnsi="仿宋" w:eastAsia="仿宋" w:cs="仿宋"/>
                <w:b w:val="0"/>
                <w:bCs/>
                <w:color w:val="000000"/>
                <w:kern w:val="0"/>
                <w:sz w:val="24"/>
                <w:szCs w:val="24"/>
                <w:vertAlign w:val="baseline"/>
                <w:lang w:val="en-US" w:eastAsia="zh-CN"/>
              </w:rPr>
            </w:pPr>
            <w:r>
              <w:rPr>
                <w:rFonts w:hint="eastAsia" w:ascii="仿宋" w:hAnsi="仿宋" w:eastAsia="仿宋" w:cs="仿宋"/>
                <w:b w:val="0"/>
                <w:bCs/>
                <w:color w:val="000000"/>
                <w:kern w:val="0"/>
                <w:sz w:val="24"/>
                <w:szCs w:val="24"/>
                <w:vertAlign w:val="baseline"/>
                <w:lang w:val="en-US" w:eastAsia="zh-CN"/>
              </w:rPr>
              <w:t>序号</w:t>
            </w:r>
          </w:p>
        </w:tc>
        <w:tc>
          <w:tcPr>
            <w:tcW w:w="1925" w:type="dxa"/>
            <w:vAlign w:val="center"/>
          </w:tcPr>
          <w:p>
            <w:pPr>
              <w:widowControl/>
              <w:numPr>
                <w:ilvl w:val="0"/>
                <w:numId w:val="0"/>
              </w:numPr>
              <w:spacing w:line="240" w:lineRule="auto"/>
              <w:jc w:val="center"/>
              <w:rPr>
                <w:rFonts w:hint="eastAsia" w:ascii="仿宋" w:hAnsi="仿宋" w:eastAsia="仿宋" w:cs="仿宋"/>
                <w:b w:val="0"/>
                <w:bCs/>
                <w:color w:val="000000"/>
                <w:kern w:val="0"/>
                <w:sz w:val="24"/>
                <w:szCs w:val="24"/>
                <w:vertAlign w:val="baseline"/>
                <w:lang w:val="en-US" w:eastAsia="zh-CN"/>
              </w:rPr>
            </w:pPr>
            <w:r>
              <w:rPr>
                <w:rFonts w:hint="eastAsia" w:ascii="仿宋" w:hAnsi="仿宋" w:eastAsia="仿宋" w:cs="仿宋"/>
                <w:b w:val="0"/>
                <w:bCs/>
                <w:color w:val="000000"/>
                <w:kern w:val="0"/>
                <w:sz w:val="24"/>
                <w:szCs w:val="24"/>
                <w:vertAlign w:val="baseline"/>
                <w:lang w:val="en-US" w:eastAsia="zh-CN"/>
              </w:rPr>
              <w:t>招聘岗位</w:t>
            </w:r>
          </w:p>
        </w:tc>
        <w:tc>
          <w:tcPr>
            <w:tcW w:w="818" w:type="dxa"/>
            <w:vAlign w:val="center"/>
          </w:tcPr>
          <w:p>
            <w:pPr>
              <w:widowControl/>
              <w:numPr>
                <w:ilvl w:val="0"/>
                <w:numId w:val="0"/>
              </w:numPr>
              <w:spacing w:line="240" w:lineRule="auto"/>
              <w:jc w:val="center"/>
              <w:rPr>
                <w:rFonts w:hint="eastAsia" w:ascii="仿宋" w:hAnsi="仿宋" w:eastAsia="仿宋" w:cs="仿宋"/>
                <w:b w:val="0"/>
                <w:bCs/>
                <w:color w:val="000000"/>
                <w:kern w:val="0"/>
                <w:sz w:val="24"/>
                <w:szCs w:val="24"/>
                <w:vertAlign w:val="baseline"/>
                <w:lang w:val="en-US" w:eastAsia="zh-CN"/>
              </w:rPr>
            </w:pPr>
            <w:r>
              <w:rPr>
                <w:rFonts w:hint="eastAsia" w:ascii="仿宋" w:hAnsi="仿宋" w:eastAsia="仿宋" w:cs="仿宋"/>
                <w:b w:val="0"/>
                <w:bCs/>
                <w:color w:val="000000"/>
                <w:kern w:val="0"/>
                <w:sz w:val="24"/>
                <w:szCs w:val="24"/>
                <w:vertAlign w:val="baseline"/>
                <w:lang w:val="en-US" w:eastAsia="zh-CN"/>
              </w:rPr>
              <w:t>招聘人数</w:t>
            </w:r>
          </w:p>
        </w:tc>
        <w:tc>
          <w:tcPr>
            <w:tcW w:w="1835" w:type="dxa"/>
            <w:vAlign w:val="center"/>
          </w:tcPr>
          <w:p>
            <w:pPr>
              <w:widowControl/>
              <w:numPr>
                <w:ilvl w:val="0"/>
                <w:numId w:val="0"/>
              </w:numPr>
              <w:spacing w:line="240" w:lineRule="auto"/>
              <w:jc w:val="center"/>
              <w:rPr>
                <w:rFonts w:hint="eastAsia" w:ascii="仿宋" w:hAnsi="仿宋" w:eastAsia="仿宋" w:cs="仿宋"/>
                <w:b w:val="0"/>
                <w:bCs/>
                <w:color w:val="000000"/>
                <w:kern w:val="0"/>
                <w:sz w:val="24"/>
                <w:szCs w:val="24"/>
                <w:vertAlign w:val="baseline"/>
                <w:lang w:val="en-US" w:eastAsia="zh-CN"/>
              </w:rPr>
            </w:pPr>
            <w:r>
              <w:rPr>
                <w:rFonts w:hint="eastAsia" w:ascii="仿宋" w:hAnsi="仿宋" w:eastAsia="仿宋" w:cs="仿宋"/>
                <w:b w:val="0"/>
                <w:bCs/>
                <w:color w:val="000000"/>
                <w:kern w:val="0"/>
                <w:sz w:val="24"/>
                <w:szCs w:val="24"/>
                <w:vertAlign w:val="baseline"/>
                <w:lang w:val="en-US" w:eastAsia="zh-CN"/>
              </w:rPr>
              <w:t>学历</w:t>
            </w:r>
          </w:p>
          <w:p>
            <w:pPr>
              <w:widowControl/>
              <w:numPr>
                <w:ilvl w:val="0"/>
                <w:numId w:val="0"/>
              </w:numPr>
              <w:spacing w:line="240" w:lineRule="auto"/>
              <w:jc w:val="center"/>
              <w:rPr>
                <w:rFonts w:hint="eastAsia" w:ascii="仿宋" w:hAnsi="仿宋" w:eastAsia="仿宋" w:cs="仿宋"/>
                <w:b w:val="0"/>
                <w:bCs/>
                <w:color w:val="000000"/>
                <w:kern w:val="0"/>
                <w:sz w:val="24"/>
                <w:szCs w:val="24"/>
                <w:vertAlign w:val="baseline"/>
                <w:lang w:val="en-US" w:eastAsia="zh-CN"/>
              </w:rPr>
            </w:pPr>
            <w:r>
              <w:rPr>
                <w:rFonts w:hint="eastAsia" w:ascii="仿宋" w:hAnsi="仿宋" w:eastAsia="仿宋" w:cs="仿宋"/>
                <w:b w:val="0"/>
                <w:bCs/>
                <w:color w:val="000000"/>
                <w:kern w:val="0"/>
                <w:sz w:val="24"/>
                <w:szCs w:val="24"/>
                <w:vertAlign w:val="baseline"/>
                <w:lang w:val="en-US" w:eastAsia="zh-CN"/>
              </w:rPr>
              <w:t>（全日制）</w:t>
            </w:r>
          </w:p>
        </w:tc>
        <w:tc>
          <w:tcPr>
            <w:tcW w:w="1824" w:type="dxa"/>
            <w:vAlign w:val="center"/>
          </w:tcPr>
          <w:p>
            <w:pPr>
              <w:widowControl/>
              <w:numPr>
                <w:ilvl w:val="0"/>
                <w:numId w:val="0"/>
              </w:numPr>
              <w:spacing w:line="240" w:lineRule="auto"/>
              <w:jc w:val="center"/>
              <w:rPr>
                <w:rFonts w:hint="eastAsia" w:ascii="仿宋" w:hAnsi="仿宋" w:eastAsia="仿宋" w:cs="仿宋"/>
                <w:b w:val="0"/>
                <w:bCs/>
                <w:color w:val="000000"/>
                <w:kern w:val="0"/>
                <w:sz w:val="24"/>
                <w:szCs w:val="24"/>
                <w:vertAlign w:val="baseline"/>
                <w:lang w:val="en-US" w:eastAsia="zh-CN"/>
              </w:rPr>
            </w:pPr>
            <w:r>
              <w:rPr>
                <w:rFonts w:hint="eastAsia" w:ascii="仿宋" w:hAnsi="仿宋" w:eastAsia="仿宋" w:cs="仿宋"/>
                <w:b w:val="0"/>
                <w:bCs/>
                <w:color w:val="000000"/>
                <w:kern w:val="0"/>
                <w:sz w:val="24"/>
                <w:szCs w:val="24"/>
                <w:vertAlign w:val="baseline"/>
                <w:lang w:val="en-US" w:eastAsia="zh-CN"/>
              </w:rPr>
              <w:t>专业</w:t>
            </w:r>
          </w:p>
        </w:tc>
        <w:tc>
          <w:tcPr>
            <w:tcW w:w="764" w:type="dxa"/>
            <w:vAlign w:val="center"/>
          </w:tcPr>
          <w:p>
            <w:pPr>
              <w:widowControl/>
              <w:numPr>
                <w:ilvl w:val="0"/>
                <w:numId w:val="0"/>
              </w:numPr>
              <w:spacing w:line="240" w:lineRule="auto"/>
              <w:jc w:val="center"/>
              <w:rPr>
                <w:rFonts w:hint="eastAsia" w:ascii="仿宋" w:hAnsi="仿宋" w:eastAsia="仿宋" w:cs="仿宋"/>
                <w:b w:val="0"/>
                <w:bCs/>
                <w:color w:val="000000"/>
                <w:kern w:val="0"/>
                <w:sz w:val="24"/>
                <w:szCs w:val="24"/>
                <w:vertAlign w:val="baseline"/>
                <w:lang w:val="en-US" w:eastAsia="zh-CN"/>
              </w:rPr>
            </w:pPr>
            <w:r>
              <w:rPr>
                <w:rFonts w:hint="eastAsia" w:ascii="仿宋" w:hAnsi="仿宋" w:eastAsia="仿宋" w:cs="仿宋"/>
                <w:b w:val="0"/>
                <w:bCs/>
                <w:color w:val="000000"/>
                <w:kern w:val="0"/>
                <w:sz w:val="24"/>
                <w:szCs w:val="24"/>
                <w:vertAlign w:val="baseline"/>
                <w:lang w:val="en-US" w:eastAsia="zh-CN"/>
              </w:rPr>
              <w:t>年龄</w:t>
            </w:r>
          </w:p>
        </w:tc>
        <w:tc>
          <w:tcPr>
            <w:tcW w:w="2097" w:type="dxa"/>
            <w:vAlign w:val="center"/>
          </w:tcPr>
          <w:p>
            <w:pPr>
              <w:widowControl/>
              <w:numPr>
                <w:ilvl w:val="0"/>
                <w:numId w:val="0"/>
              </w:numPr>
              <w:spacing w:line="240" w:lineRule="auto"/>
              <w:jc w:val="center"/>
              <w:rPr>
                <w:rFonts w:hint="eastAsia" w:ascii="仿宋" w:hAnsi="仿宋" w:eastAsia="仿宋" w:cs="仿宋"/>
                <w:b w:val="0"/>
                <w:bCs/>
                <w:color w:val="000000"/>
                <w:kern w:val="0"/>
                <w:sz w:val="24"/>
                <w:szCs w:val="24"/>
                <w:vertAlign w:val="baseline"/>
                <w:lang w:val="en-US" w:eastAsia="zh-CN"/>
              </w:rPr>
            </w:pPr>
            <w:r>
              <w:rPr>
                <w:rFonts w:hint="eastAsia" w:ascii="仿宋" w:hAnsi="仿宋" w:eastAsia="仿宋" w:cs="仿宋"/>
                <w:b w:val="0"/>
                <w:bCs/>
                <w:color w:val="000000"/>
                <w:kern w:val="0"/>
                <w:sz w:val="24"/>
                <w:szCs w:val="24"/>
                <w:vertAlign w:val="baseline"/>
                <w:lang w:val="en-US" w:eastAsia="zh-CN"/>
              </w:rPr>
              <w:t>其他条件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6" w:hRule="atLeast"/>
          <w:jc w:val="center"/>
        </w:trPr>
        <w:tc>
          <w:tcPr>
            <w:tcW w:w="727" w:type="dxa"/>
            <w:vAlign w:val="center"/>
          </w:tcPr>
          <w:p>
            <w:pPr>
              <w:widowControl/>
              <w:numPr>
                <w:ilvl w:val="0"/>
                <w:numId w:val="0"/>
              </w:numPr>
              <w:spacing w:line="240" w:lineRule="auto"/>
              <w:jc w:val="center"/>
              <w:rPr>
                <w:rFonts w:hint="eastAsia" w:ascii="仿宋" w:hAnsi="仿宋" w:eastAsia="仿宋" w:cs="仿宋"/>
                <w:b w:val="0"/>
                <w:bCs/>
                <w:color w:val="000000"/>
                <w:kern w:val="0"/>
                <w:sz w:val="24"/>
                <w:szCs w:val="24"/>
                <w:vertAlign w:val="baseline"/>
                <w:lang w:val="en-US" w:eastAsia="zh-CN"/>
              </w:rPr>
            </w:pPr>
            <w:r>
              <w:rPr>
                <w:rFonts w:hint="eastAsia" w:ascii="仿宋" w:hAnsi="仿宋" w:eastAsia="仿宋" w:cs="仿宋"/>
                <w:b w:val="0"/>
                <w:bCs/>
                <w:color w:val="000000"/>
                <w:kern w:val="0"/>
                <w:sz w:val="24"/>
                <w:szCs w:val="24"/>
                <w:vertAlign w:val="baseline"/>
                <w:lang w:val="en-US" w:eastAsia="zh-CN"/>
              </w:rPr>
              <w:t>1</w:t>
            </w:r>
          </w:p>
        </w:tc>
        <w:tc>
          <w:tcPr>
            <w:tcW w:w="1925" w:type="dxa"/>
            <w:vAlign w:val="center"/>
          </w:tcPr>
          <w:p>
            <w:pPr>
              <w:widowControl/>
              <w:numPr>
                <w:ilvl w:val="0"/>
                <w:numId w:val="0"/>
              </w:numPr>
              <w:spacing w:line="240" w:lineRule="auto"/>
              <w:jc w:val="center"/>
              <w:rPr>
                <w:rFonts w:hint="eastAsia" w:ascii="仿宋" w:hAnsi="仿宋" w:eastAsia="仿宋" w:cs="仿宋"/>
                <w:b w:val="0"/>
                <w:bCs/>
                <w:color w:val="000000"/>
                <w:kern w:val="0"/>
                <w:sz w:val="24"/>
                <w:szCs w:val="24"/>
                <w:vertAlign w:val="baseline"/>
                <w:lang w:val="en-US" w:eastAsia="zh-CN"/>
              </w:rPr>
            </w:pPr>
            <w:r>
              <w:rPr>
                <w:rFonts w:hint="eastAsia" w:ascii="仿宋" w:hAnsi="仿宋" w:eastAsia="仿宋" w:cs="仿宋"/>
                <w:b w:val="0"/>
                <w:bCs/>
                <w:color w:val="000000"/>
                <w:kern w:val="0"/>
                <w:sz w:val="24"/>
                <w:szCs w:val="24"/>
                <w:vertAlign w:val="baseline"/>
                <w:lang w:val="en-US" w:eastAsia="zh-CN"/>
              </w:rPr>
              <w:t>普外科医生</w:t>
            </w:r>
          </w:p>
        </w:tc>
        <w:tc>
          <w:tcPr>
            <w:tcW w:w="818" w:type="dxa"/>
            <w:vAlign w:val="center"/>
          </w:tcPr>
          <w:p>
            <w:pPr>
              <w:widowControl/>
              <w:numPr>
                <w:ilvl w:val="0"/>
                <w:numId w:val="0"/>
              </w:numPr>
              <w:spacing w:line="240" w:lineRule="auto"/>
              <w:jc w:val="center"/>
              <w:rPr>
                <w:rFonts w:hint="eastAsia" w:ascii="仿宋" w:hAnsi="仿宋" w:eastAsia="仿宋" w:cs="仿宋"/>
                <w:b w:val="0"/>
                <w:bCs/>
                <w:color w:val="000000"/>
                <w:kern w:val="0"/>
                <w:sz w:val="24"/>
                <w:szCs w:val="24"/>
                <w:vertAlign w:val="baseline"/>
                <w:lang w:val="en-US" w:eastAsia="zh-CN"/>
              </w:rPr>
            </w:pPr>
            <w:r>
              <w:rPr>
                <w:rFonts w:hint="eastAsia" w:ascii="仿宋" w:hAnsi="仿宋" w:eastAsia="仿宋" w:cs="仿宋"/>
                <w:b w:val="0"/>
                <w:bCs/>
                <w:color w:val="000000"/>
                <w:kern w:val="0"/>
                <w:sz w:val="24"/>
                <w:szCs w:val="24"/>
                <w:vertAlign w:val="baseline"/>
                <w:lang w:val="en-US" w:eastAsia="zh-CN"/>
              </w:rPr>
              <w:t>1</w:t>
            </w:r>
          </w:p>
        </w:tc>
        <w:tc>
          <w:tcPr>
            <w:tcW w:w="1835" w:type="dxa"/>
            <w:vAlign w:val="center"/>
          </w:tcPr>
          <w:p>
            <w:pPr>
              <w:widowControl/>
              <w:numPr>
                <w:ilvl w:val="0"/>
                <w:numId w:val="0"/>
              </w:numPr>
              <w:spacing w:line="240" w:lineRule="auto"/>
              <w:jc w:val="center"/>
              <w:rPr>
                <w:rFonts w:hint="eastAsia" w:ascii="仿宋" w:hAnsi="仿宋" w:eastAsia="仿宋" w:cs="仿宋"/>
                <w:b w:val="0"/>
                <w:bCs/>
                <w:color w:val="000000"/>
                <w:kern w:val="0"/>
                <w:sz w:val="24"/>
                <w:szCs w:val="24"/>
                <w:vertAlign w:val="baseline"/>
              </w:rPr>
            </w:pPr>
            <w:r>
              <w:rPr>
                <w:rFonts w:hint="eastAsia" w:ascii="仿宋" w:hAnsi="仿宋" w:eastAsia="仿宋" w:cs="仿宋"/>
                <w:b w:val="0"/>
                <w:bCs/>
                <w:color w:val="000000"/>
                <w:kern w:val="0"/>
                <w:sz w:val="24"/>
                <w:szCs w:val="24"/>
                <w:vertAlign w:val="baseline"/>
                <w:lang w:val="en-US" w:eastAsia="zh-CN"/>
              </w:rPr>
              <w:t>大专及以上</w:t>
            </w:r>
          </w:p>
        </w:tc>
        <w:tc>
          <w:tcPr>
            <w:tcW w:w="1824" w:type="dxa"/>
            <w:vAlign w:val="center"/>
          </w:tcPr>
          <w:p>
            <w:pPr>
              <w:widowControl/>
              <w:numPr>
                <w:ilvl w:val="0"/>
                <w:numId w:val="0"/>
              </w:numPr>
              <w:spacing w:line="240" w:lineRule="auto"/>
              <w:jc w:val="center"/>
              <w:rPr>
                <w:rFonts w:hint="default" w:ascii="仿宋" w:hAnsi="仿宋" w:eastAsia="仿宋" w:cs="仿宋"/>
                <w:b w:val="0"/>
                <w:bCs/>
                <w:color w:val="000000"/>
                <w:kern w:val="0"/>
                <w:sz w:val="24"/>
                <w:szCs w:val="24"/>
                <w:vertAlign w:val="baseline"/>
                <w:lang w:val="en-US" w:eastAsia="zh-CN"/>
              </w:rPr>
            </w:pPr>
            <w:r>
              <w:rPr>
                <w:rFonts w:hint="eastAsia" w:ascii="仿宋" w:hAnsi="仿宋" w:eastAsia="仿宋" w:cs="仿宋"/>
                <w:b w:val="0"/>
                <w:bCs/>
                <w:color w:val="000000"/>
                <w:kern w:val="0"/>
                <w:sz w:val="24"/>
                <w:szCs w:val="24"/>
                <w:vertAlign w:val="baseline"/>
                <w:lang w:val="en-US" w:eastAsia="zh-CN"/>
              </w:rPr>
              <w:t>临床医学或中西医结合临床或中医学</w:t>
            </w:r>
          </w:p>
        </w:tc>
        <w:tc>
          <w:tcPr>
            <w:tcW w:w="764" w:type="dxa"/>
            <w:vAlign w:val="center"/>
          </w:tcPr>
          <w:p>
            <w:pPr>
              <w:widowControl/>
              <w:numPr>
                <w:ilvl w:val="0"/>
                <w:numId w:val="0"/>
              </w:numPr>
              <w:spacing w:line="240" w:lineRule="auto"/>
              <w:jc w:val="center"/>
              <w:rPr>
                <w:rFonts w:hint="eastAsia" w:ascii="仿宋" w:hAnsi="仿宋" w:eastAsia="仿宋" w:cs="仿宋"/>
                <w:b w:val="0"/>
                <w:bCs/>
                <w:color w:val="000000"/>
                <w:kern w:val="0"/>
                <w:sz w:val="24"/>
                <w:szCs w:val="24"/>
                <w:vertAlign w:val="baseline"/>
                <w:lang w:val="en-US" w:eastAsia="zh-CN"/>
              </w:rPr>
            </w:pPr>
            <w:r>
              <w:rPr>
                <w:rFonts w:hint="eastAsia" w:ascii="仿宋" w:hAnsi="仿宋" w:eastAsia="仿宋" w:cs="仿宋"/>
                <w:b w:val="0"/>
                <w:bCs/>
                <w:color w:val="000000"/>
                <w:kern w:val="0"/>
                <w:sz w:val="24"/>
                <w:szCs w:val="24"/>
                <w:vertAlign w:val="baseline"/>
                <w:lang w:val="en-US" w:eastAsia="zh-CN"/>
              </w:rPr>
              <w:t>35周岁及以下</w:t>
            </w:r>
          </w:p>
        </w:tc>
        <w:tc>
          <w:tcPr>
            <w:tcW w:w="2097" w:type="dxa"/>
            <w:vAlign w:val="center"/>
          </w:tcPr>
          <w:p>
            <w:pPr>
              <w:widowControl/>
              <w:numPr>
                <w:ilvl w:val="0"/>
                <w:numId w:val="0"/>
              </w:numPr>
              <w:spacing w:line="240" w:lineRule="auto"/>
              <w:jc w:val="both"/>
              <w:rPr>
                <w:rFonts w:hint="eastAsia" w:ascii="仿宋" w:hAnsi="仿宋" w:eastAsia="仿宋" w:cs="仿宋"/>
                <w:b w:val="0"/>
                <w:bCs/>
                <w:color w:val="000000"/>
                <w:kern w:val="0"/>
                <w:sz w:val="24"/>
                <w:szCs w:val="24"/>
                <w:vertAlign w:val="baseline"/>
                <w:lang w:val="en-US" w:eastAsia="zh-CN"/>
              </w:rPr>
            </w:pPr>
            <w:r>
              <w:rPr>
                <w:rFonts w:hint="eastAsia" w:ascii="仿宋" w:hAnsi="仿宋" w:eastAsia="仿宋" w:cs="仿宋"/>
                <w:b w:val="0"/>
                <w:bCs/>
                <w:color w:val="000000"/>
                <w:kern w:val="0"/>
                <w:sz w:val="24"/>
                <w:szCs w:val="24"/>
                <w:vertAlign w:val="baseline"/>
                <w:lang w:val="en-US" w:eastAsia="zh-CN"/>
              </w:rPr>
              <w:t>具备执业医师资格；取得副高以上职称年龄可放宽至40周岁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3" w:hRule="atLeast"/>
          <w:jc w:val="center"/>
        </w:trPr>
        <w:tc>
          <w:tcPr>
            <w:tcW w:w="727" w:type="dxa"/>
            <w:vAlign w:val="center"/>
          </w:tcPr>
          <w:p>
            <w:pPr>
              <w:widowControl/>
              <w:numPr>
                <w:ilvl w:val="0"/>
                <w:numId w:val="0"/>
              </w:numPr>
              <w:spacing w:line="240" w:lineRule="auto"/>
              <w:jc w:val="center"/>
              <w:rPr>
                <w:rFonts w:hint="eastAsia" w:ascii="仿宋" w:hAnsi="仿宋" w:eastAsia="仿宋" w:cs="仿宋"/>
                <w:b w:val="0"/>
                <w:bCs/>
                <w:color w:val="000000"/>
                <w:kern w:val="0"/>
                <w:sz w:val="24"/>
                <w:szCs w:val="24"/>
                <w:vertAlign w:val="baseline"/>
                <w:lang w:val="en-US" w:eastAsia="zh-CN"/>
              </w:rPr>
            </w:pPr>
            <w:r>
              <w:rPr>
                <w:rFonts w:hint="eastAsia" w:ascii="仿宋" w:hAnsi="仿宋" w:eastAsia="仿宋" w:cs="仿宋"/>
                <w:b w:val="0"/>
                <w:bCs/>
                <w:color w:val="000000"/>
                <w:kern w:val="0"/>
                <w:sz w:val="24"/>
                <w:szCs w:val="24"/>
                <w:vertAlign w:val="baseline"/>
                <w:lang w:val="en-US" w:eastAsia="zh-CN"/>
              </w:rPr>
              <w:t>2</w:t>
            </w:r>
          </w:p>
        </w:tc>
        <w:tc>
          <w:tcPr>
            <w:tcW w:w="1925" w:type="dxa"/>
            <w:vAlign w:val="center"/>
          </w:tcPr>
          <w:p>
            <w:pPr>
              <w:widowControl/>
              <w:numPr>
                <w:ilvl w:val="0"/>
                <w:numId w:val="0"/>
              </w:numPr>
              <w:spacing w:line="240" w:lineRule="auto"/>
              <w:jc w:val="center"/>
              <w:rPr>
                <w:rFonts w:hint="eastAsia" w:ascii="仿宋" w:hAnsi="仿宋" w:eastAsia="仿宋" w:cs="仿宋"/>
                <w:b w:val="0"/>
                <w:bCs/>
                <w:color w:val="000000"/>
                <w:kern w:val="0"/>
                <w:sz w:val="24"/>
                <w:szCs w:val="24"/>
                <w:vertAlign w:val="baseline"/>
                <w:lang w:val="en-US" w:eastAsia="zh-CN"/>
              </w:rPr>
            </w:pPr>
            <w:r>
              <w:rPr>
                <w:rFonts w:hint="eastAsia" w:ascii="仿宋" w:hAnsi="仿宋" w:eastAsia="仿宋" w:cs="仿宋"/>
                <w:b w:val="0"/>
                <w:bCs/>
                <w:color w:val="000000"/>
                <w:kern w:val="0"/>
                <w:sz w:val="24"/>
                <w:szCs w:val="24"/>
                <w:vertAlign w:val="baseline"/>
                <w:lang w:val="en-US" w:eastAsia="zh-CN"/>
              </w:rPr>
              <w:t>驻二所医生</w:t>
            </w:r>
          </w:p>
        </w:tc>
        <w:tc>
          <w:tcPr>
            <w:tcW w:w="818" w:type="dxa"/>
            <w:vAlign w:val="center"/>
          </w:tcPr>
          <w:p>
            <w:pPr>
              <w:widowControl/>
              <w:numPr>
                <w:ilvl w:val="0"/>
                <w:numId w:val="0"/>
              </w:numPr>
              <w:spacing w:line="240" w:lineRule="auto"/>
              <w:jc w:val="center"/>
              <w:rPr>
                <w:rFonts w:hint="eastAsia" w:ascii="仿宋" w:hAnsi="仿宋" w:eastAsia="仿宋" w:cs="仿宋"/>
                <w:b w:val="0"/>
                <w:bCs/>
                <w:color w:val="000000"/>
                <w:kern w:val="0"/>
                <w:sz w:val="24"/>
                <w:szCs w:val="24"/>
                <w:vertAlign w:val="baseline"/>
                <w:lang w:val="en-US" w:eastAsia="zh-CN"/>
              </w:rPr>
            </w:pPr>
            <w:r>
              <w:rPr>
                <w:rFonts w:hint="eastAsia" w:ascii="仿宋" w:hAnsi="仿宋" w:eastAsia="仿宋" w:cs="仿宋"/>
                <w:b w:val="0"/>
                <w:bCs/>
                <w:color w:val="000000"/>
                <w:kern w:val="0"/>
                <w:sz w:val="24"/>
                <w:szCs w:val="24"/>
                <w:vertAlign w:val="baseline"/>
                <w:lang w:val="en-US" w:eastAsia="zh-CN"/>
              </w:rPr>
              <w:t>2</w:t>
            </w:r>
          </w:p>
        </w:tc>
        <w:tc>
          <w:tcPr>
            <w:tcW w:w="1835" w:type="dxa"/>
            <w:vAlign w:val="center"/>
          </w:tcPr>
          <w:p>
            <w:pPr>
              <w:widowControl/>
              <w:numPr>
                <w:ilvl w:val="0"/>
                <w:numId w:val="0"/>
              </w:numPr>
              <w:spacing w:line="240" w:lineRule="auto"/>
              <w:jc w:val="center"/>
              <w:rPr>
                <w:rFonts w:hint="eastAsia" w:ascii="仿宋" w:hAnsi="仿宋" w:eastAsia="仿宋" w:cs="仿宋"/>
                <w:b w:val="0"/>
                <w:bCs/>
                <w:color w:val="000000"/>
                <w:kern w:val="0"/>
                <w:sz w:val="24"/>
                <w:szCs w:val="24"/>
                <w:vertAlign w:val="baseline"/>
                <w:lang w:val="en-US" w:eastAsia="zh-CN"/>
              </w:rPr>
            </w:pPr>
            <w:r>
              <w:rPr>
                <w:rFonts w:hint="eastAsia" w:ascii="仿宋" w:hAnsi="仿宋" w:eastAsia="仿宋" w:cs="仿宋"/>
                <w:b w:val="0"/>
                <w:bCs/>
                <w:color w:val="000000"/>
                <w:kern w:val="0"/>
                <w:sz w:val="24"/>
                <w:szCs w:val="24"/>
                <w:vertAlign w:val="baseline"/>
                <w:lang w:val="en-US" w:eastAsia="zh-CN"/>
              </w:rPr>
              <w:t>大专及以上</w:t>
            </w:r>
          </w:p>
        </w:tc>
        <w:tc>
          <w:tcPr>
            <w:tcW w:w="1824" w:type="dxa"/>
            <w:vAlign w:val="center"/>
          </w:tcPr>
          <w:p>
            <w:pPr>
              <w:widowControl/>
              <w:numPr>
                <w:ilvl w:val="0"/>
                <w:numId w:val="0"/>
              </w:numPr>
              <w:spacing w:line="240" w:lineRule="auto"/>
              <w:jc w:val="center"/>
              <w:rPr>
                <w:rFonts w:hint="default" w:ascii="仿宋" w:hAnsi="仿宋" w:eastAsia="仿宋" w:cs="仿宋"/>
                <w:b w:val="0"/>
                <w:bCs/>
                <w:color w:val="000000"/>
                <w:kern w:val="0"/>
                <w:sz w:val="24"/>
                <w:szCs w:val="24"/>
                <w:vertAlign w:val="baseline"/>
                <w:lang w:val="en-US"/>
              </w:rPr>
            </w:pPr>
            <w:r>
              <w:rPr>
                <w:rFonts w:hint="eastAsia" w:ascii="仿宋" w:hAnsi="仿宋" w:eastAsia="仿宋" w:cs="仿宋"/>
                <w:b w:val="0"/>
                <w:bCs/>
                <w:color w:val="000000"/>
                <w:kern w:val="0"/>
                <w:sz w:val="24"/>
                <w:szCs w:val="24"/>
                <w:vertAlign w:val="baseline"/>
                <w:lang w:val="en-US" w:eastAsia="zh-CN"/>
              </w:rPr>
              <w:t>临床医学或中西医结合临床或中医学</w:t>
            </w:r>
          </w:p>
        </w:tc>
        <w:tc>
          <w:tcPr>
            <w:tcW w:w="764" w:type="dxa"/>
            <w:vAlign w:val="center"/>
          </w:tcPr>
          <w:p>
            <w:pPr>
              <w:widowControl/>
              <w:numPr>
                <w:ilvl w:val="0"/>
                <w:numId w:val="0"/>
              </w:numPr>
              <w:spacing w:line="240" w:lineRule="auto"/>
              <w:jc w:val="center"/>
              <w:rPr>
                <w:rFonts w:hint="eastAsia" w:ascii="仿宋" w:hAnsi="仿宋" w:eastAsia="仿宋" w:cs="仿宋"/>
                <w:b w:val="0"/>
                <w:bCs/>
                <w:color w:val="000000"/>
                <w:kern w:val="0"/>
                <w:sz w:val="24"/>
                <w:szCs w:val="24"/>
                <w:vertAlign w:val="baseline"/>
              </w:rPr>
            </w:pPr>
            <w:r>
              <w:rPr>
                <w:rFonts w:hint="eastAsia" w:ascii="仿宋" w:hAnsi="仿宋" w:eastAsia="仿宋" w:cs="仿宋"/>
                <w:b w:val="0"/>
                <w:bCs/>
                <w:color w:val="000000"/>
                <w:kern w:val="0"/>
                <w:sz w:val="24"/>
                <w:szCs w:val="24"/>
                <w:vertAlign w:val="baseline"/>
                <w:lang w:val="en-US" w:eastAsia="zh-CN"/>
              </w:rPr>
              <w:t>40周岁及以下</w:t>
            </w:r>
          </w:p>
        </w:tc>
        <w:tc>
          <w:tcPr>
            <w:tcW w:w="2097" w:type="dxa"/>
            <w:vAlign w:val="center"/>
          </w:tcPr>
          <w:p>
            <w:pPr>
              <w:widowControl/>
              <w:numPr>
                <w:ilvl w:val="0"/>
                <w:numId w:val="0"/>
              </w:numPr>
              <w:spacing w:line="240" w:lineRule="auto"/>
              <w:jc w:val="both"/>
              <w:rPr>
                <w:rFonts w:hint="eastAsia" w:ascii="仿宋" w:hAnsi="仿宋" w:eastAsia="仿宋" w:cs="仿宋"/>
                <w:b w:val="0"/>
                <w:bCs/>
                <w:color w:val="000000"/>
                <w:kern w:val="0"/>
                <w:sz w:val="24"/>
                <w:szCs w:val="24"/>
                <w:vertAlign w:val="baseline"/>
                <w:lang w:val="en-US"/>
              </w:rPr>
            </w:pPr>
            <w:r>
              <w:rPr>
                <w:rFonts w:hint="eastAsia" w:ascii="仿宋" w:hAnsi="仿宋" w:eastAsia="仿宋" w:cs="仿宋"/>
                <w:b w:val="0"/>
                <w:bCs/>
                <w:color w:val="000000"/>
                <w:kern w:val="0"/>
                <w:sz w:val="24"/>
                <w:szCs w:val="24"/>
                <w:vertAlign w:val="baseline"/>
                <w:lang w:val="en-US" w:eastAsia="zh-CN"/>
              </w:rPr>
              <w:t>具备执业医师资格；限男性</w:t>
            </w:r>
          </w:p>
        </w:tc>
      </w:tr>
    </w:tbl>
    <w:p>
      <w:pPr>
        <w:widowControl/>
        <w:numPr>
          <w:ilvl w:val="0"/>
          <w:numId w:val="0"/>
        </w:numPr>
        <w:spacing w:line="240" w:lineRule="auto"/>
        <w:ind w:firstLine="600" w:firstLineChars="200"/>
        <w:rPr>
          <w:rFonts w:hint="eastAsia" w:ascii="仿宋" w:hAnsi="仿宋" w:eastAsia="仿宋" w:cs="仿宋"/>
          <w:color w:val="000000"/>
          <w:kern w:val="0"/>
          <w:sz w:val="30"/>
          <w:szCs w:val="30"/>
          <w:lang w:val="en-US" w:eastAsia="zh-CN"/>
        </w:rPr>
      </w:pPr>
      <w:r>
        <w:rPr>
          <w:rFonts w:hint="eastAsia" w:ascii="仿宋" w:hAnsi="仿宋" w:eastAsia="仿宋" w:cs="仿宋"/>
          <w:color w:val="000000"/>
          <w:kern w:val="0"/>
          <w:sz w:val="30"/>
          <w:szCs w:val="30"/>
          <w:lang w:val="en-US" w:eastAsia="zh-CN"/>
        </w:rPr>
        <w:t>（三）报考条件</w:t>
      </w:r>
    </w:p>
    <w:p>
      <w:pPr>
        <w:widowControl/>
        <w:numPr>
          <w:ilvl w:val="0"/>
          <w:numId w:val="0"/>
        </w:numPr>
        <w:spacing w:line="240" w:lineRule="auto"/>
        <w:ind w:firstLine="600" w:firstLineChars="200"/>
        <w:rPr>
          <w:rFonts w:hint="eastAsia" w:ascii="仿宋" w:hAnsi="仿宋" w:eastAsia="仿宋" w:cs="仿宋"/>
          <w:color w:val="000000"/>
          <w:kern w:val="0"/>
          <w:sz w:val="30"/>
          <w:szCs w:val="30"/>
          <w:lang w:val="en-US" w:eastAsia="zh-CN"/>
        </w:rPr>
      </w:pPr>
      <w:r>
        <w:rPr>
          <w:rFonts w:hint="eastAsia" w:ascii="仿宋" w:hAnsi="仿宋" w:eastAsia="仿宋" w:cs="仿宋"/>
          <w:color w:val="000000"/>
          <w:kern w:val="0"/>
          <w:sz w:val="30"/>
          <w:szCs w:val="30"/>
          <w:lang w:val="en-US" w:eastAsia="zh-CN"/>
        </w:rPr>
        <w:t>报考人员须具备下列条件：</w:t>
      </w:r>
    </w:p>
    <w:p>
      <w:pPr>
        <w:widowControl/>
        <w:numPr>
          <w:ilvl w:val="0"/>
          <w:numId w:val="0"/>
        </w:numPr>
        <w:spacing w:line="240" w:lineRule="auto"/>
        <w:ind w:firstLine="600" w:firstLineChars="200"/>
        <w:rPr>
          <w:rFonts w:hint="eastAsia" w:ascii="仿宋" w:hAnsi="仿宋" w:eastAsia="仿宋" w:cs="仿宋"/>
          <w:color w:val="000000"/>
          <w:kern w:val="0"/>
          <w:sz w:val="30"/>
          <w:szCs w:val="30"/>
          <w:lang w:val="en-US" w:eastAsia="zh-CN"/>
        </w:rPr>
      </w:pPr>
      <w:r>
        <w:rPr>
          <w:rFonts w:hint="eastAsia" w:ascii="仿宋" w:hAnsi="仿宋" w:eastAsia="仿宋" w:cs="仿宋"/>
          <w:color w:val="000000"/>
          <w:kern w:val="0"/>
          <w:sz w:val="30"/>
          <w:szCs w:val="30"/>
          <w:lang w:val="en-US" w:eastAsia="zh-CN"/>
        </w:rPr>
        <w:t>1、具有中华人民共和国国籍；</w:t>
      </w:r>
    </w:p>
    <w:p>
      <w:pPr>
        <w:widowControl/>
        <w:numPr>
          <w:ilvl w:val="0"/>
          <w:numId w:val="0"/>
        </w:numPr>
        <w:spacing w:line="240" w:lineRule="auto"/>
        <w:ind w:firstLine="600" w:firstLineChars="200"/>
        <w:rPr>
          <w:rFonts w:hint="eastAsia" w:ascii="仿宋" w:hAnsi="仿宋" w:eastAsia="仿宋" w:cs="仿宋"/>
          <w:color w:val="000000"/>
          <w:kern w:val="0"/>
          <w:sz w:val="30"/>
          <w:szCs w:val="30"/>
          <w:lang w:val="en-US" w:eastAsia="zh-CN"/>
        </w:rPr>
      </w:pPr>
      <w:r>
        <w:rPr>
          <w:rFonts w:hint="eastAsia" w:ascii="仿宋" w:hAnsi="仿宋" w:eastAsia="仿宋" w:cs="仿宋"/>
          <w:color w:val="000000"/>
          <w:kern w:val="0"/>
          <w:sz w:val="30"/>
          <w:szCs w:val="30"/>
          <w:lang w:val="en-US" w:eastAsia="zh-CN"/>
        </w:rPr>
        <w:t>2、遵守宪法和法律，拥护中国共产党的领导和社会主义制度；</w:t>
      </w:r>
    </w:p>
    <w:p>
      <w:pPr>
        <w:widowControl/>
        <w:numPr>
          <w:ilvl w:val="0"/>
          <w:numId w:val="0"/>
        </w:numPr>
        <w:spacing w:line="240" w:lineRule="auto"/>
        <w:ind w:firstLine="600" w:firstLineChars="200"/>
        <w:rPr>
          <w:rFonts w:hint="eastAsia" w:ascii="仿宋" w:hAnsi="仿宋" w:eastAsia="仿宋" w:cs="仿宋"/>
          <w:color w:val="000000"/>
          <w:kern w:val="0"/>
          <w:sz w:val="30"/>
          <w:szCs w:val="30"/>
          <w:lang w:val="en-US" w:eastAsia="zh-CN"/>
        </w:rPr>
      </w:pPr>
      <w:r>
        <w:rPr>
          <w:rFonts w:hint="eastAsia" w:ascii="仿宋" w:hAnsi="仿宋" w:eastAsia="仿宋" w:cs="仿宋"/>
          <w:color w:val="000000"/>
          <w:kern w:val="0"/>
          <w:sz w:val="30"/>
          <w:szCs w:val="30"/>
          <w:lang w:val="en-US" w:eastAsia="zh-CN"/>
        </w:rPr>
        <w:t>3、具有良好的政治素质和道德品行；</w:t>
      </w:r>
    </w:p>
    <w:p>
      <w:pPr>
        <w:widowControl/>
        <w:numPr>
          <w:ilvl w:val="0"/>
          <w:numId w:val="0"/>
        </w:numPr>
        <w:spacing w:line="240" w:lineRule="auto"/>
        <w:ind w:firstLine="600" w:firstLineChars="200"/>
        <w:rPr>
          <w:rFonts w:hint="eastAsia" w:ascii="仿宋" w:hAnsi="仿宋" w:eastAsia="仿宋" w:cs="仿宋"/>
          <w:color w:val="000000"/>
          <w:kern w:val="0"/>
          <w:sz w:val="30"/>
          <w:szCs w:val="30"/>
          <w:lang w:val="en-US" w:eastAsia="zh-CN"/>
        </w:rPr>
      </w:pPr>
      <w:r>
        <w:rPr>
          <w:rFonts w:hint="eastAsia" w:ascii="仿宋" w:hAnsi="仿宋" w:eastAsia="仿宋" w:cs="仿宋"/>
          <w:color w:val="000000"/>
          <w:kern w:val="0"/>
          <w:sz w:val="30"/>
          <w:szCs w:val="30"/>
          <w:lang w:val="en-US" w:eastAsia="zh-CN"/>
        </w:rPr>
        <w:t>4、具有岗位所需的任职资格、职业资格、技能要求和身体条件；</w:t>
      </w:r>
    </w:p>
    <w:p>
      <w:pPr>
        <w:widowControl/>
        <w:numPr>
          <w:ilvl w:val="0"/>
          <w:numId w:val="0"/>
        </w:numPr>
        <w:spacing w:line="240" w:lineRule="auto"/>
        <w:ind w:firstLine="600" w:firstLineChars="200"/>
        <w:rPr>
          <w:rFonts w:hint="eastAsia" w:ascii="仿宋" w:hAnsi="仿宋" w:eastAsia="仿宋" w:cs="仿宋"/>
          <w:color w:val="000000"/>
          <w:kern w:val="0"/>
          <w:sz w:val="30"/>
          <w:szCs w:val="30"/>
          <w:lang w:val="en-US" w:eastAsia="zh-CN"/>
        </w:rPr>
      </w:pPr>
      <w:r>
        <w:rPr>
          <w:rFonts w:hint="eastAsia" w:ascii="仿宋" w:hAnsi="仿宋" w:eastAsia="仿宋" w:cs="仿宋"/>
          <w:color w:val="000000"/>
          <w:kern w:val="0"/>
          <w:sz w:val="30"/>
          <w:szCs w:val="30"/>
          <w:lang w:val="en-US" w:eastAsia="zh-CN"/>
        </w:rPr>
        <w:t>5、具有岗位所需要的其他条件。</w:t>
      </w:r>
    </w:p>
    <w:p>
      <w:pPr>
        <w:widowControl/>
        <w:spacing w:line="240" w:lineRule="auto"/>
        <w:ind w:firstLine="600" w:firstLineChars="200"/>
        <w:rPr>
          <w:rFonts w:hint="eastAsia" w:ascii="仿宋" w:hAnsi="仿宋" w:eastAsia="仿宋" w:cs="仿宋"/>
          <w:color w:val="000000"/>
          <w:kern w:val="0"/>
          <w:sz w:val="30"/>
          <w:szCs w:val="30"/>
          <w:lang w:val="en-US" w:eastAsia="zh-CN"/>
        </w:rPr>
      </w:pPr>
      <w:r>
        <w:rPr>
          <w:rFonts w:hint="eastAsia" w:ascii="仿宋" w:hAnsi="仿宋" w:eastAsia="仿宋" w:cs="仿宋"/>
          <w:color w:val="000000"/>
          <w:kern w:val="0"/>
          <w:sz w:val="30"/>
          <w:szCs w:val="30"/>
          <w:lang w:val="en-US" w:eastAsia="zh-CN"/>
        </w:rPr>
        <w:t>不得报考的情形：</w:t>
      </w:r>
    </w:p>
    <w:p>
      <w:pPr>
        <w:widowControl/>
        <w:shd w:val="clear" w:color="auto" w:fill="FFFFFF"/>
        <w:spacing w:line="240" w:lineRule="auto"/>
        <w:ind w:firstLine="600" w:firstLineChars="200"/>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rPr>
        <w:t>1</w:t>
      </w:r>
      <w:r>
        <w:rPr>
          <w:rFonts w:hint="eastAsia" w:ascii="仿宋" w:hAnsi="仿宋" w:eastAsia="仿宋" w:cs="仿宋"/>
          <w:color w:val="000000"/>
          <w:kern w:val="0"/>
          <w:sz w:val="30"/>
          <w:szCs w:val="30"/>
          <w:lang w:eastAsia="zh-CN"/>
        </w:rPr>
        <w:t>、</w:t>
      </w:r>
      <w:r>
        <w:rPr>
          <w:rFonts w:hint="eastAsia" w:ascii="仿宋" w:hAnsi="仿宋" w:eastAsia="仿宋" w:cs="仿宋"/>
          <w:color w:val="000000"/>
          <w:kern w:val="0"/>
          <w:sz w:val="30"/>
          <w:szCs w:val="30"/>
        </w:rPr>
        <w:t>因犯罪受过刑事处罚的人员；</w:t>
      </w:r>
    </w:p>
    <w:p>
      <w:pPr>
        <w:widowControl/>
        <w:shd w:val="clear" w:color="auto" w:fill="FFFFFF"/>
        <w:spacing w:line="240" w:lineRule="auto"/>
        <w:ind w:firstLine="600" w:firstLineChars="200"/>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rPr>
        <w:t>2</w:t>
      </w:r>
      <w:r>
        <w:rPr>
          <w:rFonts w:hint="eastAsia" w:ascii="仿宋" w:hAnsi="仿宋" w:eastAsia="仿宋" w:cs="仿宋"/>
          <w:color w:val="000000"/>
          <w:kern w:val="0"/>
          <w:sz w:val="30"/>
          <w:szCs w:val="30"/>
          <w:lang w:eastAsia="zh-CN"/>
        </w:rPr>
        <w:t>、</w:t>
      </w:r>
      <w:r>
        <w:rPr>
          <w:rFonts w:hint="eastAsia" w:ascii="仿宋" w:hAnsi="仿宋" w:eastAsia="仿宋" w:cs="仿宋"/>
          <w:color w:val="000000"/>
          <w:kern w:val="0"/>
          <w:sz w:val="30"/>
          <w:szCs w:val="30"/>
        </w:rPr>
        <w:t>被开除中国共产党党籍或被开除公职的人员；</w:t>
      </w:r>
    </w:p>
    <w:p>
      <w:pPr>
        <w:widowControl/>
        <w:shd w:val="clear" w:color="auto" w:fill="FFFFFF"/>
        <w:spacing w:line="240" w:lineRule="auto"/>
        <w:ind w:firstLine="600" w:firstLineChars="200"/>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rPr>
        <w:t>3</w:t>
      </w:r>
      <w:r>
        <w:rPr>
          <w:rFonts w:hint="eastAsia" w:ascii="仿宋" w:hAnsi="仿宋" w:eastAsia="仿宋" w:cs="仿宋"/>
          <w:color w:val="000000"/>
          <w:kern w:val="0"/>
          <w:sz w:val="30"/>
          <w:szCs w:val="30"/>
          <w:lang w:eastAsia="zh-CN"/>
        </w:rPr>
        <w:t>、</w:t>
      </w:r>
      <w:r>
        <w:rPr>
          <w:rFonts w:hint="eastAsia" w:ascii="仿宋" w:hAnsi="仿宋" w:eastAsia="仿宋" w:cs="仿宋"/>
          <w:color w:val="000000"/>
          <w:kern w:val="0"/>
          <w:sz w:val="30"/>
          <w:szCs w:val="30"/>
        </w:rPr>
        <w:t>涉嫌违法违纪正在接受审查的人员和尚未解除党纪、政务等处分的人员；</w:t>
      </w:r>
    </w:p>
    <w:p>
      <w:pPr>
        <w:widowControl/>
        <w:shd w:val="clear" w:color="auto" w:fill="FFFFFF"/>
        <w:spacing w:line="240" w:lineRule="auto"/>
        <w:ind w:firstLine="600" w:firstLineChars="200"/>
        <w:rPr>
          <w:rFonts w:hint="eastAsia" w:ascii="仿宋" w:hAnsi="仿宋" w:eastAsia="仿宋" w:cs="仿宋"/>
          <w:color w:val="000000"/>
          <w:kern w:val="0"/>
          <w:sz w:val="30"/>
          <w:szCs w:val="30"/>
        </w:rPr>
      </w:pPr>
      <w:r>
        <w:rPr>
          <w:rFonts w:hint="eastAsia" w:ascii="仿宋" w:hAnsi="仿宋" w:eastAsia="仿宋" w:cs="仿宋"/>
          <w:color w:val="000000"/>
          <w:kern w:val="0"/>
          <w:sz w:val="30"/>
          <w:szCs w:val="30"/>
        </w:rPr>
        <w:t>4</w:t>
      </w:r>
      <w:r>
        <w:rPr>
          <w:rFonts w:hint="eastAsia" w:ascii="仿宋" w:hAnsi="仿宋" w:eastAsia="仿宋" w:cs="仿宋"/>
          <w:color w:val="000000"/>
          <w:kern w:val="0"/>
          <w:sz w:val="30"/>
          <w:szCs w:val="30"/>
          <w:lang w:eastAsia="zh-CN"/>
        </w:rPr>
        <w:t>、</w:t>
      </w:r>
      <w:r>
        <w:rPr>
          <w:rFonts w:hint="eastAsia" w:ascii="仿宋" w:hAnsi="仿宋" w:eastAsia="仿宋" w:cs="仿宋"/>
          <w:color w:val="000000"/>
          <w:kern w:val="0"/>
          <w:sz w:val="30"/>
          <w:szCs w:val="30"/>
        </w:rPr>
        <w:t>在各级公务员、事业单位考试和法律规定的其他国家考试中被认定有严重违纪违规行为的人员；</w:t>
      </w:r>
    </w:p>
    <w:p>
      <w:pPr>
        <w:widowControl/>
        <w:shd w:val="clear" w:color="auto" w:fill="FFFFFF"/>
        <w:spacing w:line="240" w:lineRule="auto"/>
        <w:ind w:firstLine="600" w:firstLineChars="200"/>
        <w:rPr>
          <w:rFonts w:hint="eastAsia" w:ascii="仿宋" w:hAnsi="仿宋" w:eastAsia="仿宋" w:cs="仿宋"/>
          <w:color w:val="000000"/>
          <w:kern w:val="0"/>
          <w:sz w:val="30"/>
          <w:szCs w:val="30"/>
          <w:lang w:eastAsia="zh-CN"/>
        </w:rPr>
      </w:pPr>
      <w:r>
        <w:rPr>
          <w:rFonts w:hint="eastAsia" w:ascii="仿宋" w:hAnsi="仿宋" w:eastAsia="仿宋" w:cs="仿宋"/>
          <w:color w:val="000000"/>
          <w:kern w:val="0"/>
          <w:sz w:val="30"/>
          <w:szCs w:val="30"/>
        </w:rPr>
        <w:t>5</w:t>
      </w:r>
      <w:r>
        <w:rPr>
          <w:rFonts w:hint="eastAsia" w:ascii="仿宋" w:hAnsi="仿宋" w:eastAsia="仿宋" w:cs="仿宋"/>
          <w:color w:val="000000"/>
          <w:kern w:val="0"/>
          <w:sz w:val="30"/>
          <w:szCs w:val="30"/>
          <w:lang w:eastAsia="zh-CN"/>
        </w:rPr>
        <w:t>、</w:t>
      </w:r>
      <w:r>
        <w:rPr>
          <w:rFonts w:hint="eastAsia" w:ascii="仿宋" w:hAnsi="仿宋" w:eastAsia="仿宋" w:cs="仿宋"/>
          <w:color w:val="000000"/>
          <w:kern w:val="0"/>
          <w:sz w:val="30"/>
          <w:szCs w:val="30"/>
        </w:rPr>
        <w:t>被依法列为失信联合惩戒对象的人员</w:t>
      </w:r>
      <w:r>
        <w:rPr>
          <w:rFonts w:hint="eastAsia" w:ascii="仿宋" w:hAnsi="仿宋" w:eastAsia="仿宋" w:cs="仿宋"/>
          <w:color w:val="000000"/>
          <w:kern w:val="0"/>
          <w:sz w:val="30"/>
          <w:szCs w:val="30"/>
          <w:lang w:eastAsia="zh-CN"/>
        </w:rPr>
        <w:t>。</w:t>
      </w:r>
    </w:p>
    <w:p>
      <w:pPr>
        <w:widowControl/>
        <w:shd w:val="clear" w:color="auto" w:fill="FFFFFF"/>
        <w:spacing w:line="240" w:lineRule="auto"/>
        <w:ind w:firstLine="600" w:firstLineChars="200"/>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二、招聘流程</w:t>
      </w:r>
    </w:p>
    <w:p>
      <w:pPr>
        <w:widowControl/>
        <w:shd w:val="clear" w:color="auto" w:fill="FFFFFF"/>
        <w:spacing w:line="240" w:lineRule="auto"/>
        <w:ind w:firstLine="600" w:firstLineChars="200"/>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（一）公布信息：</w:t>
      </w:r>
    </w:p>
    <w:p>
      <w:pPr>
        <w:widowControl/>
        <w:shd w:val="clear" w:color="auto" w:fill="FFFFFF"/>
        <w:spacing w:line="240" w:lineRule="auto"/>
        <w:ind w:firstLine="600" w:firstLineChars="200"/>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面向社会发布招聘公告（广丰区中医院官网），公布时间为2023年6月6日。</w:t>
      </w:r>
    </w:p>
    <w:p>
      <w:pPr>
        <w:widowControl/>
        <w:numPr>
          <w:ilvl w:val="0"/>
          <w:numId w:val="1"/>
        </w:numPr>
        <w:shd w:val="clear" w:color="auto" w:fill="FFFFFF"/>
        <w:spacing w:line="240" w:lineRule="auto"/>
        <w:ind w:firstLine="600" w:firstLineChars="200"/>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报名：</w:t>
      </w:r>
    </w:p>
    <w:p>
      <w:pPr>
        <w:widowControl/>
        <w:numPr>
          <w:ilvl w:val="0"/>
          <w:numId w:val="2"/>
        </w:numPr>
        <w:shd w:val="clear" w:color="auto" w:fill="FFFFFF"/>
        <w:spacing w:line="240" w:lineRule="auto"/>
        <w:ind w:firstLine="600" w:firstLineChars="200"/>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报名材料：报名者携带身份证、毕业证、学位证、执业证书、资格证书、教育部学历证书电子注册备案表等相关证件原件及复印件1份，个人近期1寸免冠照片2张。</w:t>
      </w:r>
    </w:p>
    <w:p>
      <w:pPr>
        <w:widowControl/>
        <w:numPr>
          <w:ilvl w:val="0"/>
          <w:numId w:val="2"/>
        </w:numPr>
        <w:shd w:val="clear" w:color="auto" w:fill="FFFFFF"/>
        <w:spacing w:line="240" w:lineRule="auto"/>
        <w:ind w:firstLine="600" w:firstLineChars="200"/>
        <w:rPr>
          <w:rFonts w:hint="default" w:ascii="仿宋" w:hAnsi="仿宋" w:eastAsia="仿宋" w:cs="仿宋"/>
          <w:sz w:val="30"/>
          <w:szCs w:val="30"/>
          <w:lang w:val="en-US" w:eastAsia="zh-CN"/>
        </w:rPr>
      </w:pPr>
      <w:r>
        <w:rPr>
          <w:rFonts w:hint="eastAsia" w:ascii="仿宋" w:hAnsi="仿宋" w:eastAsia="仿宋" w:cs="仿宋"/>
          <w:sz w:val="30"/>
          <w:szCs w:val="30"/>
          <w:lang w:val="en-US" w:eastAsia="zh-CN"/>
        </w:rPr>
        <w:t>报名时间：2023年6月13日至6月15日（上午8:00-11:30，下午14:30-17:30）。</w:t>
      </w:r>
    </w:p>
    <w:p>
      <w:pPr>
        <w:widowControl/>
        <w:numPr>
          <w:ilvl w:val="0"/>
          <w:numId w:val="2"/>
        </w:numPr>
        <w:shd w:val="clear" w:color="auto" w:fill="FFFFFF"/>
        <w:spacing w:line="240" w:lineRule="auto"/>
        <w:ind w:firstLine="600" w:firstLineChars="200"/>
        <w:rPr>
          <w:rFonts w:hint="default" w:ascii="仿宋" w:hAnsi="仿宋" w:eastAsia="仿宋" w:cs="仿宋"/>
          <w:sz w:val="30"/>
          <w:szCs w:val="30"/>
          <w:lang w:val="en-US" w:eastAsia="zh-CN"/>
        </w:rPr>
      </w:pPr>
      <w:r>
        <w:rPr>
          <w:rFonts w:hint="eastAsia" w:ascii="仿宋" w:hAnsi="仿宋" w:eastAsia="仿宋" w:cs="仿宋"/>
          <w:sz w:val="30"/>
          <w:szCs w:val="30"/>
          <w:lang w:val="en-US" w:eastAsia="zh-CN"/>
        </w:rPr>
        <w:t>报名地点：广丰区中医院人事科（门诊大楼四楼A区）。</w:t>
      </w:r>
    </w:p>
    <w:p>
      <w:pPr>
        <w:widowControl/>
        <w:numPr>
          <w:ilvl w:val="0"/>
          <w:numId w:val="0"/>
        </w:numPr>
        <w:shd w:val="clear" w:color="auto" w:fill="FFFFFF"/>
        <w:spacing w:line="240" w:lineRule="auto"/>
        <w:ind w:leftChars="200"/>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三、组织考试</w:t>
      </w:r>
    </w:p>
    <w:p>
      <w:pPr>
        <w:widowControl/>
        <w:numPr>
          <w:ilvl w:val="0"/>
          <w:numId w:val="0"/>
        </w:numPr>
        <w:shd w:val="clear" w:color="auto" w:fill="FFFFFF"/>
        <w:spacing w:line="240" w:lineRule="auto"/>
        <w:ind w:firstLine="300" w:firstLineChars="100"/>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（一）综合面试考试范围：专业理论知识、人际沟通与表达能力、仪容仪表。</w:t>
      </w:r>
    </w:p>
    <w:p>
      <w:pPr>
        <w:widowControl/>
        <w:numPr>
          <w:ilvl w:val="0"/>
          <w:numId w:val="0"/>
        </w:numPr>
        <w:shd w:val="clear" w:color="auto" w:fill="FFFFFF"/>
        <w:spacing w:line="240" w:lineRule="auto"/>
        <w:ind w:firstLine="300" w:firstLineChars="100"/>
        <w:rPr>
          <w:rFonts w:hint="default" w:ascii="仿宋" w:hAnsi="仿宋" w:eastAsia="仿宋" w:cs="仿宋"/>
          <w:sz w:val="30"/>
          <w:szCs w:val="30"/>
          <w:lang w:val="en-US" w:eastAsia="zh-CN"/>
        </w:rPr>
      </w:pPr>
      <w:r>
        <w:rPr>
          <w:rFonts w:hint="eastAsia" w:ascii="仿宋" w:hAnsi="仿宋" w:eastAsia="仿宋" w:cs="仿宋"/>
          <w:sz w:val="30"/>
          <w:szCs w:val="30"/>
          <w:lang w:val="en-US" w:eastAsia="zh-CN"/>
        </w:rPr>
        <w:t>（二）面试时间：2023年6月17日14:00-16:00。</w:t>
      </w:r>
    </w:p>
    <w:p>
      <w:pPr>
        <w:widowControl/>
        <w:numPr>
          <w:ilvl w:val="0"/>
          <w:numId w:val="0"/>
        </w:numPr>
        <w:shd w:val="clear" w:color="auto" w:fill="FFFFFF"/>
        <w:spacing w:line="240" w:lineRule="auto"/>
        <w:ind w:firstLine="300" w:firstLineChars="100"/>
        <w:rPr>
          <w:rFonts w:hint="default" w:ascii="仿宋" w:hAnsi="仿宋" w:eastAsia="仿宋" w:cs="仿宋"/>
          <w:sz w:val="30"/>
          <w:szCs w:val="30"/>
          <w:lang w:val="en-US" w:eastAsia="zh-CN"/>
        </w:rPr>
      </w:pPr>
      <w:r>
        <w:rPr>
          <w:rFonts w:hint="eastAsia" w:ascii="仿宋" w:hAnsi="仿宋" w:eastAsia="仿宋" w:cs="仿宋"/>
          <w:sz w:val="30"/>
          <w:szCs w:val="30"/>
          <w:lang w:val="en-US" w:eastAsia="zh-CN"/>
        </w:rPr>
        <w:t>（三）面试地点：广丰区中医院院周会会议室（门诊大楼四楼B区）。</w:t>
      </w:r>
    </w:p>
    <w:p>
      <w:pPr>
        <w:widowControl/>
        <w:numPr>
          <w:ilvl w:val="0"/>
          <w:numId w:val="0"/>
        </w:numPr>
        <w:shd w:val="clear" w:color="auto" w:fill="FFFFFF"/>
        <w:spacing w:line="240" w:lineRule="auto"/>
        <w:ind w:firstLine="300" w:firstLineChars="100"/>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（四）入闱人员名单将于考试结束后在上饶市广丰区中医院官网公布。</w:t>
      </w:r>
    </w:p>
    <w:p>
      <w:pPr>
        <w:widowControl/>
        <w:numPr>
          <w:ilvl w:val="0"/>
          <w:numId w:val="0"/>
        </w:numPr>
        <w:shd w:val="clear" w:color="auto" w:fill="FFFFFF"/>
        <w:spacing w:line="240" w:lineRule="auto"/>
        <w:ind w:leftChars="200"/>
        <w:rPr>
          <w:rFonts w:hint="default" w:ascii="仿宋" w:hAnsi="仿宋" w:eastAsia="仿宋" w:cs="仿宋"/>
          <w:sz w:val="30"/>
          <w:szCs w:val="30"/>
          <w:lang w:val="en-US" w:eastAsia="zh-CN"/>
        </w:rPr>
      </w:pPr>
      <w:r>
        <w:rPr>
          <w:rFonts w:hint="eastAsia" w:ascii="仿宋" w:hAnsi="仿宋" w:eastAsia="仿宋" w:cs="仿宋"/>
          <w:sz w:val="30"/>
          <w:szCs w:val="30"/>
          <w:lang w:val="en-US" w:eastAsia="zh-CN"/>
        </w:rPr>
        <w:t>（五）根据面试成绩从高分到低分确定入闱人员。</w:t>
      </w:r>
    </w:p>
    <w:p>
      <w:pPr>
        <w:widowControl/>
        <w:numPr>
          <w:ilvl w:val="0"/>
          <w:numId w:val="0"/>
        </w:numPr>
        <w:shd w:val="clear" w:color="auto" w:fill="FFFFFF"/>
        <w:spacing w:line="240" w:lineRule="auto"/>
        <w:ind w:leftChars="200"/>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四、组织体检</w:t>
      </w:r>
    </w:p>
    <w:p>
      <w:pPr>
        <w:widowControl/>
        <w:numPr>
          <w:ilvl w:val="0"/>
          <w:numId w:val="0"/>
        </w:numPr>
        <w:shd w:val="clear" w:color="auto" w:fill="FFFFFF"/>
        <w:spacing w:line="240" w:lineRule="auto"/>
        <w:ind w:leftChars="200" w:firstLine="600" w:firstLineChars="200"/>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体检时间为2023年6月19日上午8点半（入闱人员应在体检当日早晨空腹候检）。</w:t>
      </w:r>
    </w:p>
    <w:p>
      <w:pPr>
        <w:widowControl/>
        <w:numPr>
          <w:ilvl w:val="0"/>
          <w:numId w:val="0"/>
        </w:numPr>
        <w:shd w:val="clear" w:color="auto" w:fill="FFFFFF"/>
        <w:spacing w:line="240" w:lineRule="auto"/>
        <w:ind w:leftChars="200"/>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五、聘用及有关政策</w:t>
      </w:r>
    </w:p>
    <w:p>
      <w:pPr>
        <w:widowControl/>
        <w:numPr>
          <w:ilvl w:val="0"/>
          <w:numId w:val="0"/>
        </w:numPr>
        <w:shd w:val="clear" w:color="auto" w:fill="FFFFFF"/>
        <w:spacing w:line="240" w:lineRule="auto"/>
        <w:ind w:leftChars="200"/>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（一）录用人员应在体检结果合格后一个月内报到，逾期未报到者，视为放弃录用资格，因此产生缺额将依次递补录取。</w:t>
      </w:r>
    </w:p>
    <w:p>
      <w:pPr>
        <w:widowControl/>
        <w:numPr>
          <w:ilvl w:val="0"/>
          <w:numId w:val="0"/>
        </w:numPr>
        <w:shd w:val="clear" w:color="auto" w:fill="FFFFFF"/>
        <w:spacing w:line="240" w:lineRule="auto"/>
        <w:ind w:leftChars="200"/>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（二）录用人员在试用期期间不合格者，不予聘用。</w:t>
      </w:r>
    </w:p>
    <w:p>
      <w:pPr>
        <w:widowControl/>
        <w:numPr>
          <w:ilvl w:val="0"/>
          <w:numId w:val="0"/>
        </w:numPr>
        <w:shd w:val="clear" w:color="auto" w:fill="FFFFFF"/>
        <w:spacing w:line="240" w:lineRule="auto"/>
        <w:ind w:leftChars="200"/>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（三）录用人员待遇参照在岗聘用人员。</w:t>
      </w:r>
    </w:p>
    <w:p>
      <w:pPr>
        <w:widowControl/>
        <w:numPr>
          <w:ilvl w:val="0"/>
          <w:numId w:val="0"/>
        </w:numPr>
        <w:shd w:val="clear" w:color="auto" w:fill="FFFFFF"/>
        <w:spacing w:line="240" w:lineRule="auto"/>
        <w:ind w:leftChars="200"/>
        <w:rPr>
          <w:rFonts w:hint="default" w:ascii="仿宋" w:hAnsi="仿宋" w:eastAsia="仿宋" w:cs="仿宋"/>
          <w:sz w:val="30"/>
          <w:szCs w:val="30"/>
          <w:lang w:val="en-US" w:eastAsia="zh-CN"/>
        </w:rPr>
      </w:pPr>
      <w:r>
        <w:rPr>
          <w:rFonts w:hint="eastAsia" w:ascii="仿宋" w:hAnsi="仿宋" w:eastAsia="仿宋" w:cs="仿宋"/>
          <w:sz w:val="30"/>
          <w:szCs w:val="30"/>
          <w:lang w:val="en-US" w:eastAsia="zh-CN"/>
        </w:rPr>
        <w:t>（四）驻二所医生岗位人员录用后三年内不得调岗，该岗位享受特殊岗位补助。</w:t>
      </w:r>
    </w:p>
    <w:p>
      <w:pPr>
        <w:widowControl/>
        <w:numPr>
          <w:ilvl w:val="0"/>
          <w:numId w:val="0"/>
        </w:numPr>
        <w:shd w:val="clear" w:color="auto" w:fill="FFFFFF"/>
        <w:spacing w:line="240" w:lineRule="auto"/>
        <w:ind w:leftChars="200"/>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六、咨询电话：0793-2727719（人事科）</w:t>
      </w:r>
    </w:p>
    <w:p>
      <w:pPr>
        <w:widowControl/>
        <w:numPr>
          <w:ilvl w:val="0"/>
          <w:numId w:val="0"/>
        </w:numPr>
        <w:shd w:val="clear" w:color="auto" w:fill="FFFFFF"/>
        <w:spacing w:line="240" w:lineRule="auto"/>
        <w:ind w:leftChars="200"/>
        <w:rPr>
          <w:rFonts w:hint="eastAsia" w:ascii="仿宋" w:hAnsi="仿宋" w:eastAsia="仿宋" w:cs="仿宋"/>
          <w:sz w:val="30"/>
          <w:szCs w:val="30"/>
          <w:lang w:val="en-US" w:eastAsia="zh-CN"/>
        </w:rPr>
      </w:pPr>
    </w:p>
    <w:p>
      <w:pPr>
        <w:widowControl/>
        <w:numPr>
          <w:ilvl w:val="0"/>
          <w:numId w:val="0"/>
        </w:numPr>
        <w:shd w:val="clear" w:color="auto" w:fill="FFFFFF"/>
        <w:spacing w:line="240" w:lineRule="auto"/>
        <w:ind w:leftChars="200"/>
        <w:jc w:val="right"/>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上饶市广丰区中医院</w:t>
      </w:r>
    </w:p>
    <w:p>
      <w:pPr>
        <w:widowControl/>
        <w:numPr>
          <w:ilvl w:val="0"/>
          <w:numId w:val="0"/>
        </w:numPr>
        <w:shd w:val="clear" w:color="auto" w:fill="FFFFFF"/>
        <w:spacing w:line="240" w:lineRule="auto"/>
        <w:ind w:leftChars="200"/>
        <w:jc w:val="right"/>
        <w:rPr>
          <w:rFonts w:hint="default" w:ascii="仿宋" w:hAnsi="仿宋" w:eastAsia="仿宋" w:cs="仿宋"/>
          <w:sz w:val="30"/>
          <w:szCs w:val="30"/>
          <w:lang w:val="en-US" w:eastAsia="zh-CN"/>
        </w:rPr>
      </w:pPr>
      <w:r>
        <w:rPr>
          <w:rFonts w:hint="eastAsia" w:ascii="仿宋" w:hAnsi="仿宋" w:eastAsia="仿宋" w:cs="仿宋"/>
          <w:sz w:val="30"/>
          <w:szCs w:val="30"/>
          <w:lang w:val="en-US" w:eastAsia="zh-CN"/>
        </w:rPr>
        <w:t>2023年6月6日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6954C9A"/>
    <w:multiLevelType w:val="singleLevel"/>
    <w:tmpl w:val="26954C9A"/>
    <w:lvl w:ilvl="0" w:tentative="0">
      <w:start w:val="2"/>
      <w:numFmt w:val="chineseCounting"/>
      <w:suff w:val="nothing"/>
      <w:lvlText w:val="（%1）"/>
      <w:lvlJc w:val="left"/>
      <w:rPr>
        <w:rFonts w:hint="eastAsia"/>
      </w:rPr>
    </w:lvl>
  </w:abstractNum>
  <w:abstractNum w:abstractNumId="1">
    <w:nsid w:val="33A60444"/>
    <w:multiLevelType w:val="singleLevel"/>
    <w:tmpl w:val="33A60444"/>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kyZGUzMGM0NjA4MTk0MDlhYWU2NTM1NDlmZWJiMmYifQ=="/>
  </w:docVars>
  <w:rsids>
    <w:rsidRoot w:val="00000000"/>
    <w:rsid w:val="08CE0793"/>
    <w:rsid w:val="08E71DB8"/>
    <w:rsid w:val="14FC3F92"/>
    <w:rsid w:val="16F328E8"/>
    <w:rsid w:val="16F77107"/>
    <w:rsid w:val="22837AA1"/>
    <w:rsid w:val="248D10AB"/>
    <w:rsid w:val="28DE0127"/>
    <w:rsid w:val="2E450300"/>
    <w:rsid w:val="2F4065DF"/>
    <w:rsid w:val="33613E2E"/>
    <w:rsid w:val="3A0F176E"/>
    <w:rsid w:val="48037201"/>
    <w:rsid w:val="5D431D2B"/>
    <w:rsid w:val="5F655DAB"/>
    <w:rsid w:val="60193217"/>
    <w:rsid w:val="65523065"/>
    <w:rsid w:val="689F7956"/>
    <w:rsid w:val="6BF31D11"/>
    <w:rsid w:val="7CA53A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1183</Words>
  <Characters>1253</Characters>
  <Lines>0</Lines>
  <Paragraphs>0</Paragraphs>
  <TotalTime>5</TotalTime>
  <ScaleCrop>false</ScaleCrop>
  <LinksUpToDate>false</LinksUpToDate>
  <CharactersWithSpaces>1256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2023-06-05T02:57:00Z</dcterms:created>
  <dc:creator>Administrator</dc:creator>
  <cp:lastModifiedBy>等风来</cp:lastModifiedBy>
  <cp:lastPrinted>2023-06-05T07:13:00Z</cp:lastPrinted>
  <dcterms:modified xsi:type="dcterms:W3CDTF">2023-06-06T01:28:54Z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C381A05FCFE64F10A837F8F1BAB71283_12</vt:lpwstr>
  </property>
</Properties>
</file>