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32"/>
          <w:szCs w:val="32"/>
        </w:rPr>
      </w:pPr>
      <w:r>
        <w:rPr>
          <w:rFonts w:hint="eastAsia" w:ascii="宋体" w:hAnsi="宋体"/>
          <w:sz w:val="32"/>
          <w:szCs w:val="32"/>
        </w:rPr>
        <w:t>附件1：</w:t>
      </w:r>
    </w:p>
    <w:p>
      <w:pPr>
        <w:jc w:val="center"/>
        <w:rPr>
          <w:rFonts w:asciiTheme="majorEastAsia" w:hAnsiTheme="majorEastAsia" w:eastAsiaTheme="majorEastAsia"/>
          <w:sz w:val="44"/>
          <w:szCs w:val="44"/>
        </w:rPr>
      </w:pPr>
      <w:r>
        <w:rPr>
          <w:rFonts w:hint="eastAsia" w:asciiTheme="majorEastAsia" w:hAnsiTheme="majorEastAsia" w:eastAsiaTheme="majorEastAsia"/>
          <w:sz w:val="44"/>
          <w:szCs w:val="44"/>
        </w:rPr>
        <w:t>报考条件</w:t>
      </w:r>
    </w:p>
    <w:p>
      <w:pPr>
        <w:jc w:val="center"/>
        <w:rPr>
          <w:sz w:val="44"/>
          <w:szCs w:val="44"/>
        </w:rPr>
      </w:pPr>
    </w:p>
    <w:p>
      <w:pPr>
        <w:ind w:firstLine="645"/>
        <w:rPr>
          <w:rFonts w:ascii="仿宋" w:hAnsi="仿宋" w:eastAsia="仿宋"/>
          <w:sz w:val="32"/>
          <w:szCs w:val="32"/>
        </w:rPr>
      </w:pPr>
      <w:r>
        <w:rPr>
          <w:rFonts w:hint="eastAsia" w:ascii="仿宋" w:hAnsi="仿宋" w:eastAsia="仿宋"/>
          <w:sz w:val="32"/>
          <w:szCs w:val="32"/>
        </w:rPr>
        <w:t>根据《河北省人力资源和社会保障厅、河北省卫生和计划生育委员会关于卫生系列高级专业技术职务任职资格实行考试与评审相结合的通知》（冀人社[2016]30号）及补充通知，报考条件如下：</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（一）申报卫生系列副高级专业技术资格考试须符合下列条件之一：</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1、获博士学位后，取得中级资格满2年；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2、取得大学本科以上学历后，取得中级资格满5年；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3、省、市、县及以下所属单位人员获中级资格后取得大学本科学历，中级资格满7年；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4、县（市、区）属单位和基层医疗卫生机构人员，取得大学专科学历，取得中级资格满7年。</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（二）申报卫生系列正高级专业技术资格考试须符合下列条件之一：</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 xml:space="preserve">1、取得大学本科以上学历后，取得副高级专业技术职务任职资格满5年； </w:t>
      </w:r>
    </w:p>
    <w:p>
      <w:pPr>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2、获副高级职务任职资格后取得大学本科学历，副高级职务任职资格满7年。</w:t>
      </w:r>
    </w:p>
    <w:p>
      <w:pPr>
        <w:rPr>
          <w:sz w:val="32"/>
          <w:szCs w:val="32"/>
        </w:rPr>
      </w:pPr>
    </w:p>
    <w:p>
      <w:pPr>
        <w:rPr>
          <w:sz w:val="32"/>
          <w:szCs w:val="32"/>
        </w:rPr>
      </w:pPr>
    </w:p>
    <w:tbl>
      <w:tblPr>
        <w:tblStyle w:val="3"/>
        <w:tblW w:w="9900" w:type="dxa"/>
        <w:jc w:val="center"/>
        <w:tblLayout w:type="fixed"/>
        <w:tblCellMar>
          <w:top w:w="0" w:type="dxa"/>
          <w:left w:w="108" w:type="dxa"/>
          <w:bottom w:w="0" w:type="dxa"/>
          <w:right w:w="108" w:type="dxa"/>
        </w:tblCellMar>
      </w:tblPr>
      <w:tblGrid>
        <w:gridCol w:w="520"/>
        <w:gridCol w:w="1820"/>
        <w:gridCol w:w="560"/>
        <w:gridCol w:w="540"/>
        <w:gridCol w:w="2460"/>
        <w:gridCol w:w="540"/>
        <w:gridCol w:w="520"/>
        <w:gridCol w:w="1860"/>
        <w:gridCol w:w="1080"/>
      </w:tblGrid>
      <w:tr>
        <w:tblPrEx>
          <w:tblCellMar>
            <w:top w:w="0" w:type="dxa"/>
            <w:left w:w="108" w:type="dxa"/>
            <w:bottom w:w="0" w:type="dxa"/>
            <w:right w:w="108" w:type="dxa"/>
          </w:tblCellMar>
        </w:tblPrEx>
        <w:trPr>
          <w:trHeight w:val="735" w:hRule="atLeast"/>
          <w:jc w:val="center"/>
        </w:trPr>
        <w:tc>
          <w:tcPr>
            <w:tcW w:w="2340" w:type="dxa"/>
            <w:gridSpan w:val="2"/>
            <w:tcBorders>
              <w:top w:val="nil"/>
              <w:left w:val="nil"/>
              <w:bottom w:val="nil"/>
              <w:right w:val="nil"/>
            </w:tcBorders>
            <w:shd w:val="clear" w:color="auto" w:fill="auto"/>
            <w:noWrap/>
            <w:vAlign w:val="center"/>
          </w:tcPr>
          <w:p>
            <w:pPr>
              <w:widowControl/>
              <w:jc w:val="left"/>
              <w:rPr>
                <w:rFonts w:ascii="宋体" w:hAnsi="宋体" w:cs="宋体"/>
                <w:kern w:val="0"/>
                <w:sz w:val="32"/>
                <w:szCs w:val="32"/>
              </w:rPr>
            </w:pPr>
            <w:r>
              <w:rPr>
                <w:rFonts w:hint="eastAsia" w:ascii="宋体" w:hAnsi="宋体" w:cs="宋体"/>
                <w:kern w:val="0"/>
                <w:sz w:val="32"/>
                <w:szCs w:val="32"/>
              </w:rPr>
              <w:t>附件2：</w:t>
            </w:r>
          </w:p>
        </w:tc>
        <w:tc>
          <w:tcPr>
            <w:tcW w:w="560"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540"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2460"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540"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520" w:type="dxa"/>
            <w:tcBorders>
              <w:top w:val="nil"/>
              <w:left w:val="nil"/>
              <w:bottom w:val="nil"/>
              <w:right w:val="nil"/>
            </w:tcBorders>
            <w:shd w:val="clear" w:color="auto" w:fill="auto"/>
            <w:noWrap/>
            <w:vAlign w:val="center"/>
          </w:tcPr>
          <w:p>
            <w:pPr>
              <w:widowControl/>
              <w:jc w:val="center"/>
              <w:rPr>
                <w:rFonts w:ascii="宋体" w:hAnsi="宋体" w:cs="宋体"/>
                <w:kern w:val="0"/>
                <w:sz w:val="24"/>
              </w:rPr>
            </w:pPr>
          </w:p>
        </w:tc>
        <w:tc>
          <w:tcPr>
            <w:tcW w:w="1860"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c>
          <w:tcPr>
            <w:tcW w:w="1080" w:type="dxa"/>
            <w:tcBorders>
              <w:top w:val="nil"/>
              <w:left w:val="nil"/>
              <w:bottom w:val="nil"/>
              <w:right w:val="nil"/>
            </w:tcBorders>
            <w:shd w:val="clear" w:color="auto" w:fill="auto"/>
            <w:noWrap/>
            <w:vAlign w:val="center"/>
          </w:tcPr>
          <w:p>
            <w:pPr>
              <w:widowControl/>
              <w:jc w:val="left"/>
              <w:rPr>
                <w:rFonts w:ascii="宋体" w:hAnsi="宋体" w:cs="宋体"/>
                <w:kern w:val="0"/>
                <w:sz w:val="24"/>
              </w:rPr>
            </w:pPr>
          </w:p>
        </w:tc>
      </w:tr>
      <w:tr>
        <w:tblPrEx>
          <w:tblCellMar>
            <w:top w:w="0" w:type="dxa"/>
            <w:left w:w="108" w:type="dxa"/>
            <w:bottom w:w="0" w:type="dxa"/>
            <w:right w:w="108" w:type="dxa"/>
          </w:tblCellMar>
        </w:tblPrEx>
        <w:trPr>
          <w:trHeight w:val="720" w:hRule="atLeast"/>
          <w:jc w:val="center"/>
        </w:trPr>
        <w:tc>
          <w:tcPr>
            <w:tcW w:w="9900" w:type="dxa"/>
            <w:gridSpan w:val="9"/>
            <w:tcBorders>
              <w:top w:val="nil"/>
              <w:left w:val="nil"/>
              <w:bottom w:val="nil"/>
              <w:right w:val="nil"/>
            </w:tcBorders>
            <w:shd w:val="clear" w:color="auto" w:fill="auto"/>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河北省卫生系列高级专业技术资格实践技能考试专业目录(105个)</w:t>
            </w:r>
          </w:p>
        </w:tc>
      </w:tr>
      <w:tr>
        <w:tblPrEx>
          <w:tblCellMar>
            <w:top w:w="0" w:type="dxa"/>
            <w:left w:w="108" w:type="dxa"/>
            <w:bottom w:w="0" w:type="dxa"/>
            <w:right w:w="108" w:type="dxa"/>
          </w:tblCellMar>
        </w:tblPrEx>
        <w:trPr>
          <w:trHeight w:val="312" w:hRule="atLeast"/>
          <w:jc w:val="center"/>
        </w:trPr>
        <w:tc>
          <w:tcPr>
            <w:tcW w:w="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专业编码</w:t>
            </w:r>
          </w:p>
        </w:tc>
        <w:tc>
          <w:tcPr>
            <w:tcW w:w="18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专业名称</w:t>
            </w:r>
          </w:p>
        </w:tc>
        <w:tc>
          <w:tcPr>
            <w:tcW w:w="5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执业类别</w:t>
            </w:r>
          </w:p>
        </w:tc>
        <w:tc>
          <w:tcPr>
            <w:tcW w:w="5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专业编码</w:t>
            </w:r>
          </w:p>
        </w:tc>
        <w:tc>
          <w:tcPr>
            <w:tcW w:w="24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专业名称</w:t>
            </w:r>
          </w:p>
        </w:tc>
        <w:tc>
          <w:tcPr>
            <w:tcW w:w="5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执业类别</w:t>
            </w:r>
          </w:p>
        </w:tc>
        <w:tc>
          <w:tcPr>
            <w:tcW w:w="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专业编码</w:t>
            </w:r>
          </w:p>
        </w:tc>
        <w:tc>
          <w:tcPr>
            <w:tcW w:w="18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专业名称</w:t>
            </w:r>
          </w:p>
        </w:tc>
        <w:tc>
          <w:tcPr>
            <w:tcW w:w="10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20"/>
              </w:rPr>
            </w:pPr>
            <w:r>
              <w:rPr>
                <w:rFonts w:hint="eastAsia" w:ascii="宋体" w:hAnsi="宋体" w:cs="宋体"/>
                <w:b/>
                <w:bCs/>
                <w:kern w:val="0"/>
                <w:sz w:val="20"/>
              </w:rPr>
              <w:t>执业类别</w:t>
            </w:r>
          </w:p>
        </w:tc>
      </w:tr>
      <w:tr>
        <w:tblPrEx>
          <w:tblCellMar>
            <w:top w:w="0" w:type="dxa"/>
            <w:left w:w="108" w:type="dxa"/>
            <w:bottom w:w="0" w:type="dxa"/>
            <w:right w:w="108" w:type="dxa"/>
          </w:tblCellMar>
        </w:tblPrEx>
        <w:trPr>
          <w:trHeight w:val="312" w:hRule="atLeast"/>
          <w:jc w:val="center"/>
        </w:trPr>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18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5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24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5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kern w:val="0"/>
                <w:sz w:val="20"/>
              </w:rPr>
            </w:pP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心血管内科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37</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超声医学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80</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中医肛肠科</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呼吸内科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38</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康复医学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81</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推拿科</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消化内科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44</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临床营养</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82</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中药学</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肾内科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45</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医院药学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83</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职业卫生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神经内科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46</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临床药学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84</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环境卫生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内分泌</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47</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护理学</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85</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营养与食品卫生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血液病</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48</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内科护理</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86</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学校卫生与儿少卫生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传染病</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49</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外科护理</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87</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放射卫生</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风湿病</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50</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妇产科护理</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88</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传染性疾病控制</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48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普通外科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51</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儿科护理</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护士</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89</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慢性非传染性疾病控制</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12</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骨外科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52</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病理学技术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90</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寄生虫病控制</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13</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胸心外科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53</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放射医学技术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91</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健康教育与健康促进</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14</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神经外科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54</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超声医学技术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92</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卫生毒理</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15</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泌尿外科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55</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核医学技术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93</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妇女保健</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16</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u w:val="single"/>
              </w:rPr>
            </w:pPr>
            <w:r>
              <w:fldChar w:fldCharType="begin"/>
            </w:r>
            <w:r>
              <w:instrText xml:space="preserve"> HYPERLINK "http://www.med126.com/tcm/2009/20090113020231_74897.shtml" </w:instrText>
            </w:r>
            <w:r>
              <w:fldChar w:fldCharType="separate"/>
            </w:r>
            <w:r>
              <w:rPr>
                <w:rFonts w:hint="eastAsia" w:ascii="宋体" w:hAnsi="宋体" w:cs="宋体"/>
                <w:kern w:val="0"/>
                <w:sz w:val="20"/>
                <w:u w:val="single"/>
              </w:rPr>
              <w:t>烧伤</w:t>
            </w:r>
            <w:r>
              <w:rPr>
                <w:rFonts w:hint="eastAsia" w:ascii="宋体" w:hAnsi="宋体" w:cs="宋体"/>
                <w:kern w:val="0"/>
                <w:sz w:val="20"/>
              </w:rPr>
              <w:t>外科</w:t>
            </w:r>
            <w:r>
              <w:rPr>
                <w:rFonts w:hint="eastAsia" w:ascii="宋体" w:hAnsi="宋体" w:cs="宋体"/>
                <w:kern w:val="0"/>
                <w:sz w:val="20"/>
              </w:rPr>
              <w:fldChar w:fldCharType="end"/>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56</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康复医学治疗技术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94</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儿童保健</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17</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整形外科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59</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临床医学检验临床免疫技术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95</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微生物检验技术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4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18</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小儿外科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60</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临床医学检验临床血液技术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96</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理化检验技术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480" w:hRule="atLeast"/>
          <w:jc w:val="center"/>
        </w:trPr>
        <w:tc>
          <w:tcPr>
            <w:tcW w:w="5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19</w:t>
            </w:r>
          </w:p>
        </w:tc>
        <w:tc>
          <w:tcPr>
            <w:tcW w:w="18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妇产科</w:t>
            </w:r>
          </w:p>
        </w:tc>
        <w:tc>
          <w:tcPr>
            <w:tcW w:w="5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61</w:t>
            </w:r>
          </w:p>
        </w:tc>
        <w:tc>
          <w:tcPr>
            <w:tcW w:w="24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临床医学检验临床微生物技术</w:t>
            </w:r>
          </w:p>
        </w:tc>
        <w:tc>
          <w:tcPr>
            <w:tcW w:w="5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97</w:t>
            </w:r>
          </w:p>
        </w:tc>
        <w:tc>
          <w:tcPr>
            <w:tcW w:w="18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病媒生物控制技术</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20</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小儿内科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63</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普通内科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98</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病案信息技术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21</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口腔医学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64</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结核病</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99</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口腔医学技术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22</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口腔内科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65</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u w:val="single"/>
              </w:rPr>
            </w:pPr>
            <w:r>
              <w:fldChar w:fldCharType="begin"/>
            </w:r>
            <w:r>
              <w:instrText xml:space="preserve"> HYPERLINK "http://www.med126.com/edu/nk/ln/" </w:instrText>
            </w:r>
            <w:r>
              <w:fldChar w:fldCharType="separate"/>
            </w:r>
            <w:r>
              <w:rPr>
                <w:rFonts w:hint="eastAsia" w:ascii="宋体" w:hAnsi="宋体" w:cs="宋体"/>
                <w:kern w:val="0"/>
                <w:sz w:val="20"/>
              </w:rPr>
              <w:t>老年医学</w:t>
            </w:r>
            <w:r>
              <w:rPr>
                <w:rFonts w:hint="eastAsia" w:ascii="宋体" w:hAnsi="宋体" w:cs="宋体"/>
                <w:kern w:val="0"/>
                <w:sz w:val="20"/>
              </w:rPr>
              <w:fldChar w:fldCharType="end"/>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103</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地方病控制</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公卫</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23</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口腔颌面外科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66</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职业病</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108</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消毒技术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24</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口腔修复</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67</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计划生育</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109</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输血技术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25</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口腔正畸</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口腔</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68</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精神病</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111</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心电图技术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26</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眼科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69</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全科医学</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112</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脑电图技术</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　</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27</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耳鼻喉(头颈外科)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70</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临床医学检验技术</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　</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113</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全科医学（中医类)</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28</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皮肤与性病</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71</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中医内科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114</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中医肿瘤学</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29</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肿瘤内科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72</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中医外科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115</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中西医结合内科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30</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肿瘤外科</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73</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中医妇科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116</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中西医结合外科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31</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放射肿瘤治疗学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74</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中医儿科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117</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中西医结合妇科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32</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急诊医学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75</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中医眼科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118</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中西医结合儿科</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中西医结合</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33</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麻醉学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76</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中医骨伤科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119</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介入治疗</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34</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病理学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77</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针灸科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120</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重症医学</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35</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放射医学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78</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中医耳鼻喉科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121</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中医护理</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护士</w:t>
            </w:r>
          </w:p>
        </w:tc>
      </w:tr>
      <w:tr>
        <w:tblPrEx>
          <w:tblCellMar>
            <w:top w:w="0" w:type="dxa"/>
            <w:left w:w="108" w:type="dxa"/>
            <w:bottom w:w="0" w:type="dxa"/>
            <w:right w:w="108" w:type="dxa"/>
          </w:tblCellMar>
        </w:tblPrEx>
        <w:trPr>
          <w:trHeight w:val="238" w:hRule="atLeast"/>
          <w:jc w:val="center"/>
        </w:trPr>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36</w:t>
            </w:r>
          </w:p>
        </w:tc>
        <w:tc>
          <w:tcPr>
            <w:tcW w:w="18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核医学</w:t>
            </w:r>
          </w:p>
        </w:tc>
        <w:tc>
          <w:tcPr>
            <w:tcW w:w="5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临床</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79</w:t>
            </w:r>
          </w:p>
        </w:tc>
        <w:tc>
          <w:tcPr>
            <w:tcW w:w="24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中医皮肤科</w:t>
            </w:r>
          </w:p>
        </w:tc>
        <w:tc>
          <w:tcPr>
            <w:tcW w:w="5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中医</w:t>
            </w:r>
          </w:p>
        </w:tc>
        <w:tc>
          <w:tcPr>
            <w:tcW w:w="5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rPr>
            </w:pPr>
            <w:r>
              <w:rPr>
                <w:rFonts w:hint="eastAsia" w:ascii="宋体" w:hAnsi="宋体" w:cs="宋体"/>
                <w:kern w:val="0"/>
                <w:sz w:val="20"/>
              </w:rPr>
              <w:t>125</w:t>
            </w:r>
          </w:p>
        </w:tc>
        <w:tc>
          <w:tcPr>
            <w:tcW w:w="18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疼痛学</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kern w:val="0"/>
                <w:sz w:val="20"/>
              </w:rPr>
            </w:pPr>
            <w:r>
              <w:rPr>
                <w:rFonts w:hint="eastAsia" w:ascii="宋体" w:hAnsi="宋体" w:cs="宋体"/>
                <w:kern w:val="0"/>
                <w:sz w:val="20"/>
              </w:rPr>
              <w:t>临床</w:t>
            </w:r>
          </w:p>
        </w:tc>
      </w:tr>
    </w:tbl>
    <w:p>
      <w:pPr>
        <w:snapToGrid w:val="0"/>
        <w:rPr>
          <w:rFonts w:ascii="仿宋" w:hAnsi="仿宋" w:eastAsia="仿宋"/>
          <w:sz w:val="32"/>
          <w:szCs w:val="32"/>
        </w:rPr>
      </w:pPr>
    </w:p>
    <w:p>
      <w:pPr>
        <w:snapToGrid w:val="0"/>
        <w:rPr>
          <w:rFonts w:ascii="仿宋" w:hAnsi="仿宋" w:eastAsia="仿宋"/>
          <w:sz w:val="32"/>
          <w:szCs w:val="32"/>
        </w:rPr>
      </w:pPr>
    </w:p>
    <w:p>
      <w:pPr>
        <w:snapToGrid w:val="0"/>
        <w:rPr>
          <w:rFonts w:ascii="仿宋" w:hAnsi="仿宋" w:eastAsia="仿宋"/>
          <w:sz w:val="32"/>
          <w:szCs w:val="32"/>
        </w:rPr>
      </w:pPr>
    </w:p>
    <w:p>
      <w:pPr>
        <w:snapToGrid w:val="0"/>
        <w:rPr>
          <w:rFonts w:ascii="仿宋" w:hAnsi="仿宋" w:eastAsia="仿宋"/>
          <w:sz w:val="32"/>
          <w:szCs w:val="32"/>
        </w:rPr>
      </w:pPr>
    </w:p>
    <w:p>
      <w:pPr>
        <w:snapToGrid w:val="0"/>
        <w:rPr>
          <w:rFonts w:ascii="仿宋" w:hAnsi="仿宋" w:eastAsia="仿宋"/>
          <w:sz w:val="32"/>
          <w:szCs w:val="32"/>
        </w:rPr>
      </w:pPr>
    </w:p>
    <w:p>
      <w:pPr>
        <w:snapToGrid w:val="0"/>
        <w:rPr>
          <w:rFonts w:ascii="仿宋" w:hAnsi="仿宋" w:eastAsia="仿宋"/>
          <w:sz w:val="32"/>
          <w:szCs w:val="32"/>
        </w:rPr>
      </w:pPr>
    </w:p>
    <w:p>
      <w:pPr>
        <w:snapToGrid w:val="0"/>
        <w:rPr>
          <w:rFonts w:ascii="仿宋" w:hAnsi="仿宋" w:eastAsia="仿宋"/>
          <w:sz w:val="32"/>
          <w:szCs w:val="32"/>
        </w:rPr>
      </w:pPr>
    </w:p>
    <w:p>
      <w:pPr>
        <w:snapToGrid w:val="0"/>
        <w:rPr>
          <w:rFonts w:ascii="仿宋" w:hAnsi="仿宋" w:eastAsia="仿宋"/>
          <w:sz w:val="32"/>
          <w:szCs w:val="32"/>
        </w:rPr>
      </w:pPr>
    </w:p>
    <w:p>
      <w:pPr>
        <w:rPr>
          <w:rFonts w:ascii="仿宋" w:hAnsi="仿宋" w:eastAsia="仿宋" w:cs="仿宋"/>
          <w:sz w:val="32"/>
          <w:szCs w:val="32"/>
        </w:rPr>
      </w:pPr>
      <w:r>
        <w:rPr>
          <w:rFonts w:hint="eastAsia" w:ascii="仿宋" w:hAnsi="仿宋" w:eastAsia="仿宋" w:cs="仿宋"/>
          <w:sz w:val="32"/>
          <w:szCs w:val="32"/>
        </w:rPr>
        <w:t>附件3：</w:t>
      </w:r>
    </w:p>
    <w:p>
      <w:pPr>
        <w:widowControl/>
        <w:jc w:val="left"/>
        <w:rPr>
          <w:rFonts w:ascii="宋体" w:hAnsi="宋体" w:cs="宋体"/>
          <w:color w:val="000000"/>
          <w:kern w:val="0"/>
          <w:szCs w:val="21"/>
        </w:rPr>
      </w:pPr>
    </w:p>
    <w:tbl>
      <w:tblPr>
        <w:tblStyle w:val="3"/>
        <w:tblW w:w="9225" w:type="dxa"/>
        <w:tblInd w:w="-72" w:type="dxa"/>
        <w:tblLayout w:type="autofit"/>
        <w:tblCellMar>
          <w:top w:w="0" w:type="dxa"/>
          <w:left w:w="0" w:type="dxa"/>
          <w:bottom w:w="0" w:type="dxa"/>
          <w:right w:w="0" w:type="dxa"/>
        </w:tblCellMar>
      </w:tblPr>
      <w:tblGrid>
        <w:gridCol w:w="1628"/>
        <w:gridCol w:w="7597"/>
      </w:tblGrid>
      <w:tr>
        <w:tblPrEx>
          <w:tblCellMar>
            <w:top w:w="0" w:type="dxa"/>
            <w:left w:w="0" w:type="dxa"/>
            <w:bottom w:w="0" w:type="dxa"/>
            <w:right w:w="0" w:type="dxa"/>
          </w:tblCellMar>
        </w:tblPrEx>
        <w:trPr>
          <w:trHeight w:val="1391" w:hRule="atLeast"/>
        </w:trPr>
        <w:tc>
          <w:tcPr>
            <w:tcW w:w="162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4"/>
              </w:rPr>
            </w:pPr>
            <w:r>
              <w:rPr>
                <w:kern w:val="0"/>
                <w:sz w:val="24"/>
              </w:rPr>
              <w:t> </w:t>
            </w:r>
            <w:r>
              <w:rPr>
                <w:rFonts w:hint="eastAsia" w:ascii="宋体" w:hAnsi="宋体" w:cs="宋体"/>
                <w:kern w:val="0"/>
                <w:sz w:val="24"/>
              </w:rPr>
              <w:t>时间</w:t>
            </w:r>
          </w:p>
          <w:p>
            <w:pPr>
              <w:widowControl/>
              <w:jc w:val="left"/>
              <w:rPr>
                <w:rFonts w:ascii="宋体" w:hAnsi="宋体" w:cs="宋体"/>
                <w:kern w:val="0"/>
                <w:sz w:val="24"/>
              </w:rPr>
            </w:pPr>
            <w:r>
              <w:rPr>
                <w:kern w:val="0"/>
                <w:sz w:val="24"/>
              </w:rPr>
              <w:t> </w:t>
            </w:r>
          </w:p>
        </w:tc>
        <w:tc>
          <w:tcPr>
            <w:tcW w:w="759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ind w:firstLine="1800"/>
              <w:jc w:val="left"/>
              <w:rPr>
                <w:rFonts w:ascii="宋体" w:hAnsi="宋体" w:cs="宋体"/>
                <w:kern w:val="0"/>
                <w:sz w:val="24"/>
              </w:rPr>
            </w:pPr>
            <w:r>
              <w:rPr>
                <w:rFonts w:hint="eastAsia" w:ascii="宋体" w:hAnsi="宋体" w:cs="宋体"/>
                <w:kern w:val="0"/>
                <w:sz w:val="36"/>
                <w:szCs w:val="36"/>
              </w:rPr>
              <w:t>单</w:t>
            </w:r>
            <w:r>
              <w:rPr>
                <w:kern w:val="0"/>
                <w:sz w:val="36"/>
                <w:szCs w:val="36"/>
              </w:rPr>
              <w:t xml:space="preserve">       </w:t>
            </w:r>
            <w:r>
              <w:rPr>
                <w:rFonts w:hint="eastAsia" w:ascii="宋体" w:hAnsi="宋体" w:cs="宋体"/>
                <w:kern w:val="0"/>
                <w:sz w:val="36"/>
                <w:szCs w:val="36"/>
              </w:rPr>
              <w:t>位</w:t>
            </w:r>
          </w:p>
        </w:tc>
      </w:tr>
      <w:tr>
        <w:tblPrEx>
          <w:tblCellMar>
            <w:top w:w="0" w:type="dxa"/>
            <w:left w:w="0" w:type="dxa"/>
            <w:bottom w:w="0" w:type="dxa"/>
            <w:right w:w="0" w:type="dxa"/>
          </w:tblCellMar>
        </w:tblPrEx>
        <w:trPr>
          <w:trHeight w:val="2218" w:hRule="atLeast"/>
        </w:trPr>
        <w:tc>
          <w:tcPr>
            <w:tcW w:w="162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宋体" w:hAnsi="宋体" w:cs="宋体"/>
                <w:kern w:val="0"/>
                <w:sz w:val="28"/>
                <w:szCs w:val="28"/>
              </w:rPr>
            </w:pPr>
            <w:r>
              <w:rPr>
                <w:rFonts w:hint="eastAsia" w:ascii="宋体" w:hAnsi="宋体" w:cs="宋体"/>
                <w:kern w:val="0"/>
                <w:sz w:val="28"/>
                <w:szCs w:val="28"/>
              </w:rPr>
              <w:t>5月4日</w:t>
            </w:r>
          </w:p>
        </w:tc>
        <w:tc>
          <w:tcPr>
            <w:tcW w:w="75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8"/>
                <w:szCs w:val="28"/>
              </w:rPr>
            </w:pPr>
            <w:r>
              <w:rPr>
                <w:rFonts w:hint="eastAsia"/>
                <w:kern w:val="0"/>
                <w:sz w:val="28"/>
                <w:szCs w:val="28"/>
              </w:rPr>
              <w:t>安新、唐县、</w:t>
            </w:r>
            <w:r>
              <w:rPr>
                <w:rFonts w:hint="eastAsia" w:ascii="宋体" w:hAnsi="宋体" w:cs="宋体"/>
                <w:kern w:val="0"/>
                <w:sz w:val="28"/>
                <w:szCs w:val="28"/>
              </w:rPr>
              <w:t>容城、、望都、河北大学附属医院、市第一医院、法医院、</w:t>
            </w:r>
            <w:r>
              <w:rPr>
                <w:kern w:val="0"/>
                <w:sz w:val="28"/>
                <w:szCs w:val="28"/>
              </w:rPr>
              <w:t> </w:t>
            </w:r>
            <w:r>
              <w:rPr>
                <w:rFonts w:hint="eastAsia"/>
                <w:kern w:val="0"/>
                <w:sz w:val="28"/>
                <w:szCs w:val="28"/>
              </w:rPr>
              <w:t>中西医结合医院</w:t>
            </w:r>
            <w:r>
              <w:rPr>
                <w:rFonts w:hint="eastAsia" w:ascii="宋体" w:hAnsi="宋体" w:cs="宋体"/>
                <w:kern w:val="0"/>
                <w:sz w:val="28"/>
                <w:szCs w:val="28"/>
              </w:rPr>
              <w:t>、市传染病医院、省六院、儿童医院、莲池区、高碑店、市二中心医院、二五二医院</w:t>
            </w:r>
          </w:p>
        </w:tc>
      </w:tr>
      <w:tr>
        <w:tblPrEx>
          <w:tblCellMar>
            <w:top w:w="0" w:type="dxa"/>
            <w:left w:w="0" w:type="dxa"/>
            <w:bottom w:w="0" w:type="dxa"/>
            <w:right w:w="0" w:type="dxa"/>
          </w:tblCellMar>
        </w:tblPrEx>
        <w:trPr>
          <w:trHeight w:val="2298" w:hRule="atLeast"/>
        </w:trPr>
        <w:tc>
          <w:tcPr>
            <w:tcW w:w="162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kern w:val="0"/>
                <w:sz w:val="28"/>
                <w:szCs w:val="28"/>
              </w:rPr>
            </w:pPr>
            <w:r>
              <w:rPr>
                <w:rFonts w:hint="eastAsia"/>
                <w:kern w:val="0"/>
                <w:sz w:val="28"/>
                <w:szCs w:val="28"/>
              </w:rPr>
              <w:t>5月5日</w:t>
            </w:r>
          </w:p>
        </w:tc>
        <w:tc>
          <w:tcPr>
            <w:tcW w:w="75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8"/>
                <w:szCs w:val="28"/>
              </w:rPr>
            </w:pPr>
            <w:r>
              <w:rPr>
                <w:rFonts w:hint="eastAsia" w:ascii="宋体" w:hAnsi="宋体" w:cs="宋体"/>
                <w:kern w:val="0"/>
                <w:sz w:val="28"/>
                <w:szCs w:val="28"/>
              </w:rPr>
              <w:t>易县、曲阳、高阳、雄县、蠡县、阜平、高开区、满城、清苑、竞秀区、顺平、涞水、市第二医院、徐水</w:t>
            </w:r>
          </w:p>
        </w:tc>
      </w:tr>
      <w:tr>
        <w:tblPrEx>
          <w:tblCellMar>
            <w:top w:w="0" w:type="dxa"/>
            <w:left w:w="0" w:type="dxa"/>
            <w:bottom w:w="0" w:type="dxa"/>
            <w:right w:w="0" w:type="dxa"/>
          </w:tblCellMar>
        </w:tblPrEx>
        <w:trPr>
          <w:trHeight w:val="3583" w:hRule="atLeast"/>
        </w:trPr>
        <w:tc>
          <w:tcPr>
            <w:tcW w:w="162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宋体" w:hAnsi="宋体" w:cs="宋体"/>
                <w:kern w:val="0"/>
                <w:sz w:val="28"/>
                <w:szCs w:val="28"/>
              </w:rPr>
            </w:pPr>
            <w:r>
              <w:rPr>
                <w:rFonts w:hint="eastAsia" w:ascii="宋体" w:hAnsi="宋体" w:cs="宋体"/>
                <w:kern w:val="0"/>
                <w:sz w:val="28"/>
                <w:szCs w:val="28"/>
              </w:rPr>
              <w:t>5月6</w:t>
            </w:r>
          </w:p>
          <w:p>
            <w:pPr>
              <w:widowControl/>
              <w:jc w:val="center"/>
              <w:rPr>
                <w:rFonts w:ascii="宋体" w:hAnsi="宋体" w:cs="宋体"/>
                <w:kern w:val="0"/>
                <w:sz w:val="28"/>
                <w:szCs w:val="28"/>
              </w:rPr>
            </w:pPr>
          </w:p>
        </w:tc>
        <w:tc>
          <w:tcPr>
            <w:tcW w:w="7597"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left"/>
              <w:rPr>
                <w:rFonts w:ascii="宋体" w:hAnsi="宋体" w:cs="宋体"/>
                <w:kern w:val="0"/>
                <w:sz w:val="28"/>
                <w:szCs w:val="28"/>
              </w:rPr>
            </w:pPr>
            <w:r>
              <w:rPr>
                <w:rFonts w:hint="eastAsia" w:ascii="宋体" w:hAnsi="宋体" w:cs="宋体"/>
                <w:kern w:val="0"/>
                <w:sz w:val="28"/>
                <w:szCs w:val="28"/>
              </w:rPr>
              <w:t>博野、</w:t>
            </w:r>
            <w:r>
              <w:rPr>
                <w:kern w:val="0"/>
                <w:sz w:val="28"/>
                <w:szCs w:val="28"/>
              </w:rPr>
              <w:t> </w:t>
            </w:r>
            <w:r>
              <w:rPr>
                <w:rFonts w:hint="eastAsia" w:ascii="宋体" w:hAnsi="宋体" w:cs="宋体"/>
                <w:kern w:val="0"/>
                <w:sz w:val="28"/>
                <w:szCs w:val="28"/>
              </w:rPr>
              <w:t>涞源、涿州市、、白沟新城、市四医院、市疾控中心、市第一中心医院、市第三中心医院、脑血管医院、市中医院、市第一中医院、荣军医院、市妇幼、、定州、定兴、安国、</w:t>
            </w:r>
          </w:p>
        </w:tc>
      </w:tr>
    </w:tbl>
    <w:p>
      <w:pPr>
        <w:widowControl/>
        <w:jc w:val="left"/>
        <w:rPr>
          <w:rFonts w:ascii="宋体" w:hAnsi="宋体" w:cs="宋体"/>
          <w:color w:val="000000"/>
          <w:kern w:val="0"/>
          <w:szCs w:val="21"/>
        </w:rPr>
      </w:pPr>
      <w:r>
        <w:rPr>
          <w:b/>
          <w:bCs/>
          <w:color w:val="000000"/>
          <w:kern w:val="0"/>
          <w:sz w:val="36"/>
          <w:szCs w:val="36"/>
        </w:rPr>
        <w:t> </w:t>
      </w:r>
    </w:p>
    <w:p>
      <w:pPr>
        <w:widowControl/>
        <w:jc w:val="left"/>
        <w:rPr>
          <w:rFonts w:ascii="宋体" w:hAnsi="宋体" w:cs="宋体"/>
          <w:b/>
          <w:bCs/>
          <w:color w:val="000000"/>
          <w:kern w:val="0"/>
          <w:sz w:val="36"/>
          <w:szCs w:val="36"/>
        </w:rPr>
      </w:pPr>
      <w:r>
        <w:rPr>
          <w:rFonts w:hint="eastAsia" w:ascii="宋体" w:hAnsi="宋体" w:cs="宋体"/>
          <w:b/>
          <w:bCs/>
          <w:color w:val="000000"/>
          <w:kern w:val="0"/>
          <w:sz w:val="36"/>
          <w:szCs w:val="36"/>
        </w:rPr>
        <w:t>注：各单位须按照规定时间报名，过期责任自负。</w:t>
      </w:r>
    </w:p>
    <w:p>
      <w:pPr>
        <w:widowControl/>
        <w:jc w:val="left"/>
        <w:rPr>
          <w:rFonts w:ascii="宋体" w:hAnsi="宋体" w:cs="宋体"/>
          <w:color w:val="000000"/>
          <w:kern w:val="0"/>
          <w:szCs w:val="21"/>
        </w:rPr>
      </w:pPr>
      <w:r>
        <w:rPr>
          <w:rFonts w:hint="eastAsia" w:ascii="宋体" w:hAnsi="宋体" w:cs="宋体"/>
          <w:b/>
          <w:bCs/>
          <w:color w:val="000000"/>
          <w:kern w:val="0"/>
          <w:sz w:val="36"/>
          <w:szCs w:val="36"/>
        </w:rPr>
        <w:t>请各县上午来报名，市里单位下午来。</w:t>
      </w:r>
    </w:p>
    <w:p>
      <w:pPr>
        <w:rPr>
          <w:rFonts w:ascii="仿宋" w:hAnsi="仿宋" w:eastAsia="仿宋" w:cs="仿宋"/>
          <w:sz w:val="32"/>
          <w:szCs w:val="32"/>
        </w:rPr>
      </w:pPr>
    </w:p>
    <w:p>
      <w:pPr>
        <w:rPr>
          <w:rFonts w:hint="eastAsia" w:ascii="仿宋" w:hAnsi="仿宋" w:eastAsia="仿宋" w:cs="仿宋"/>
          <w:sz w:val="32"/>
          <w:szCs w:val="32"/>
        </w:rPr>
      </w:pPr>
    </w:p>
    <w:p>
      <w:pPr>
        <w:rPr>
          <w:rFonts w:ascii="仿宋" w:hAnsi="仿宋" w:eastAsia="仿宋" w:cs="仿宋"/>
          <w:sz w:val="32"/>
          <w:szCs w:val="32"/>
        </w:rPr>
      </w:pPr>
    </w:p>
    <w:p>
      <w:pPr>
        <w:rPr>
          <w:rFonts w:ascii="宋体" w:hAnsi="宋体"/>
          <w:sz w:val="32"/>
          <w:szCs w:val="32"/>
        </w:rPr>
      </w:pPr>
      <w:r>
        <w:rPr>
          <w:rFonts w:hint="eastAsia" w:ascii="仿宋" w:hAnsi="仿宋" w:eastAsia="仿宋" w:cs="仿宋"/>
          <w:sz w:val="32"/>
          <w:szCs w:val="32"/>
        </w:rPr>
        <w:t>附件4：</w:t>
      </w:r>
    </w:p>
    <w:p>
      <w:pPr>
        <w:ind w:firstLine="360" w:firstLineChars="100"/>
        <w:jc w:val="center"/>
        <w:rPr>
          <w:rFonts w:ascii="宋体" w:hAnsi="宋体"/>
          <w:b/>
          <w:sz w:val="36"/>
          <w:szCs w:val="36"/>
        </w:rPr>
      </w:pPr>
      <w:r>
        <w:rPr>
          <w:rFonts w:hint="eastAsia" w:ascii="宋体" w:hAnsi="宋体"/>
          <w:b/>
          <w:sz w:val="36"/>
          <w:szCs w:val="36"/>
        </w:rPr>
        <w:t>考务工作计划安排表</w:t>
      </w:r>
    </w:p>
    <w:p>
      <w:pPr>
        <w:rPr>
          <w:sz w:val="18"/>
          <w:szCs w:val="18"/>
        </w:rPr>
      </w:pPr>
    </w:p>
    <w:tbl>
      <w:tblPr>
        <w:tblStyle w:val="3"/>
        <w:tblW w:w="8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17"/>
        <w:gridCol w:w="55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b/>
                <w:sz w:val="36"/>
                <w:szCs w:val="36"/>
              </w:rPr>
            </w:pPr>
            <w:r>
              <w:rPr>
                <w:rFonts w:hint="eastAsia"/>
                <w:b/>
                <w:sz w:val="36"/>
                <w:szCs w:val="36"/>
              </w:rPr>
              <w:t>工作时间</w:t>
            </w:r>
          </w:p>
        </w:tc>
        <w:tc>
          <w:tcPr>
            <w:tcW w:w="5597" w:type="dxa"/>
            <w:vAlign w:val="center"/>
          </w:tcPr>
          <w:p>
            <w:pPr>
              <w:jc w:val="center"/>
              <w:rPr>
                <w:b/>
                <w:sz w:val="36"/>
                <w:szCs w:val="36"/>
              </w:rPr>
            </w:pPr>
            <w:r>
              <w:rPr>
                <w:rFonts w:hint="eastAsia"/>
                <w:b/>
                <w:sz w:val="36"/>
                <w:szCs w:val="36"/>
              </w:rPr>
              <w:t>工作内容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sz w:val="28"/>
                <w:szCs w:val="28"/>
              </w:rPr>
            </w:pPr>
            <w:r>
              <w:rPr>
                <w:rFonts w:hint="eastAsia"/>
                <w:sz w:val="28"/>
                <w:szCs w:val="28"/>
              </w:rPr>
              <w:t>4月20日—5月6日</w:t>
            </w:r>
          </w:p>
        </w:tc>
        <w:tc>
          <w:tcPr>
            <w:tcW w:w="5597" w:type="dxa"/>
            <w:vAlign w:val="center"/>
          </w:tcPr>
          <w:p>
            <w:pPr>
              <w:jc w:val="center"/>
              <w:rPr>
                <w:sz w:val="28"/>
                <w:szCs w:val="28"/>
              </w:rPr>
            </w:pPr>
            <w:r>
              <w:rPr>
                <w:rFonts w:hint="eastAsia"/>
                <w:sz w:val="28"/>
                <w:szCs w:val="28"/>
              </w:rPr>
              <w:t>网上报名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sz w:val="28"/>
                <w:szCs w:val="28"/>
              </w:rPr>
            </w:pPr>
            <w:r>
              <w:rPr>
                <w:rFonts w:hint="eastAsia"/>
                <w:sz w:val="28"/>
                <w:szCs w:val="28"/>
              </w:rPr>
              <w:t>5月17日—6月3日</w:t>
            </w:r>
          </w:p>
        </w:tc>
        <w:tc>
          <w:tcPr>
            <w:tcW w:w="5597" w:type="dxa"/>
            <w:vAlign w:val="center"/>
          </w:tcPr>
          <w:p>
            <w:pPr>
              <w:jc w:val="center"/>
              <w:rPr>
                <w:sz w:val="28"/>
                <w:szCs w:val="28"/>
              </w:rPr>
            </w:pPr>
            <w:r>
              <w:rPr>
                <w:rFonts w:hint="eastAsia"/>
                <w:sz w:val="28"/>
                <w:szCs w:val="28"/>
              </w:rPr>
              <w:t>网上缴费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sz w:val="28"/>
                <w:szCs w:val="28"/>
              </w:rPr>
            </w:pPr>
            <w:r>
              <w:rPr>
                <w:rFonts w:hint="eastAsia"/>
                <w:sz w:val="28"/>
                <w:szCs w:val="28"/>
              </w:rPr>
              <w:t>6月26日—7月2日</w:t>
            </w:r>
          </w:p>
        </w:tc>
        <w:tc>
          <w:tcPr>
            <w:tcW w:w="5597" w:type="dxa"/>
            <w:vAlign w:val="center"/>
          </w:tcPr>
          <w:p>
            <w:pPr>
              <w:jc w:val="center"/>
              <w:rPr>
                <w:sz w:val="28"/>
                <w:szCs w:val="28"/>
              </w:rPr>
            </w:pPr>
            <w:r>
              <w:rPr>
                <w:rFonts w:hint="eastAsia"/>
                <w:sz w:val="28"/>
                <w:szCs w:val="28"/>
              </w:rPr>
              <w:t>准考证网上打印功能开放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sz w:val="28"/>
                <w:szCs w:val="28"/>
              </w:rPr>
            </w:pPr>
            <w:r>
              <w:rPr>
                <w:rFonts w:hint="eastAsia"/>
                <w:sz w:val="28"/>
                <w:szCs w:val="28"/>
              </w:rPr>
              <w:t>7月1、2日</w:t>
            </w:r>
          </w:p>
        </w:tc>
        <w:tc>
          <w:tcPr>
            <w:tcW w:w="5597" w:type="dxa"/>
            <w:vAlign w:val="center"/>
          </w:tcPr>
          <w:p>
            <w:pPr>
              <w:jc w:val="center"/>
              <w:rPr>
                <w:sz w:val="28"/>
                <w:szCs w:val="28"/>
              </w:rPr>
            </w:pPr>
            <w:r>
              <w:rPr>
                <w:rFonts w:hint="eastAsia"/>
                <w:sz w:val="28"/>
                <w:szCs w:val="28"/>
              </w:rPr>
              <w:t>考试实施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2917" w:type="dxa"/>
            <w:vAlign w:val="center"/>
          </w:tcPr>
          <w:p>
            <w:pPr>
              <w:jc w:val="center"/>
              <w:rPr>
                <w:sz w:val="28"/>
                <w:szCs w:val="28"/>
              </w:rPr>
            </w:pPr>
            <w:r>
              <w:rPr>
                <w:rFonts w:hint="eastAsia"/>
                <w:sz w:val="28"/>
                <w:szCs w:val="28"/>
              </w:rPr>
              <w:t>考后一个月内</w:t>
            </w:r>
          </w:p>
        </w:tc>
        <w:tc>
          <w:tcPr>
            <w:tcW w:w="5597" w:type="dxa"/>
            <w:vAlign w:val="center"/>
          </w:tcPr>
          <w:p>
            <w:pPr>
              <w:jc w:val="center"/>
              <w:rPr>
                <w:sz w:val="28"/>
                <w:szCs w:val="28"/>
              </w:rPr>
            </w:pPr>
            <w:r>
              <w:rPr>
                <w:rFonts w:hint="eastAsia"/>
                <w:sz w:val="28"/>
                <w:szCs w:val="28"/>
              </w:rPr>
              <w:t>网上成绩发布</w:t>
            </w:r>
          </w:p>
        </w:tc>
      </w:tr>
    </w:tbl>
    <w:p>
      <w:pPr>
        <w:snapToGrid w:val="0"/>
        <w:spacing w:line="360" w:lineRule="auto"/>
        <w:ind w:firstLine="640" w:firstLineChars="200"/>
        <w:rPr>
          <w:rFonts w:ascii="仿宋" w:hAnsi="仿宋" w:eastAsia="仿宋"/>
          <w:sz w:val="32"/>
          <w:szCs w:val="32"/>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bookmarkStart w:id="0" w:name="_GoBack"/>
      <w:bookmarkEnd w:id="0"/>
    </w:p>
    <w:sectPr>
      <w:footerReference r:id="rId5" w:type="default"/>
      <w:footerReference r:id="rId6" w:type="even"/>
      <w:pgSz w:w="11906" w:h="16838"/>
      <w:pgMar w:top="1134" w:right="1644" w:bottom="1134" w:left="1644" w:header="851" w:footer="992" w:gutter="0"/>
      <w:cols w:space="425" w:num="1"/>
      <w:docGrid w:type="linesAndChar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10</w:t>
    </w:r>
    <w:r>
      <w:rPr>
        <w:lang w:val="zh-CN"/>
      </w:rP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5"/>
      </w:rPr>
    </w:pPr>
    <w:r>
      <w:rPr>
        <w:rStyle w:val="5"/>
      </w:rPr>
      <w:fldChar w:fldCharType="begin"/>
    </w:r>
    <w:r>
      <w:rPr>
        <w:rStyle w:val="5"/>
      </w:rPr>
      <w:instrText xml:space="preserve">PAGE  </w:instrText>
    </w:r>
    <w:r>
      <w:rPr>
        <w:rStyle w:val="5"/>
      </w:rPr>
      <w:fldChar w:fldCharType="separate"/>
    </w:r>
    <w:r>
      <w:rPr>
        <w:rStyle w:val="5"/>
      </w:rPr>
      <w:t>7</w:t>
    </w:r>
    <w:r>
      <w:rPr>
        <w:rStyle w:val="5"/>
      </w:rPr>
      <w:fldChar w:fldCharType="end"/>
    </w:r>
  </w:p>
  <w:p>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A3ODlhOTJkYmNiMzQ0ODJlNTJkYzAzNzU2ZmM2ZjAifQ=="/>
  </w:docVars>
  <w:rsids>
    <w:rsidRoot w:val="09C1387F"/>
    <w:rsid w:val="09C138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uto"/>
      <w:ind w:right="0" w:firstLine="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character" w:styleId="5">
    <w:name w:val="page number"/>
    <w:basedOn w:val="4"/>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1559</Words>
  <Characters>1683</Characters>
  <Lines>0</Lines>
  <Paragraphs>0</Paragraphs>
  <TotalTime>0</TotalTime>
  <ScaleCrop>false</ScaleCrop>
  <LinksUpToDate>false</LinksUpToDate>
  <CharactersWithSpaces>1717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2023-04-06T08:41:00Z</dcterms:created>
  <dc:creator>云中日月</dc:creator>
  <cp:lastModifiedBy>云中日月</cp:lastModifiedBy>
  <dcterms:modified xsi:type="dcterms:W3CDTF">2023-04-06T08:41:47Z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135E2BAD77A1475598D8BD4DE043140B</vt:lpwstr>
  </property>
</Properties>
</file>