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宋体" w:hAnsi="宋体"/>
          <w:b/>
          <w:sz w:val="44"/>
          <w:szCs w:val="44"/>
        </w:rPr>
      </w:pPr>
    </w:p>
    <w:p>
      <w:pPr>
        <w:jc w:val="both"/>
        <w:rPr>
          <w:rFonts w:hint="eastAsia" w:ascii="宋体" w:hAnsi="宋体"/>
          <w:b/>
          <w:sz w:val="44"/>
          <w:szCs w:val="44"/>
        </w:rPr>
      </w:pPr>
      <w:bookmarkStart w:id="0" w:name="_GoBack"/>
      <w:bookmarkEnd w:id="0"/>
    </w:p>
    <w:p>
      <w:pPr>
        <w:jc w:val="both"/>
        <w:rPr>
          <w:rFonts w:hint="eastAsia" w:ascii="宋体" w:hAnsi="宋体" w:eastAsia="宋体"/>
          <w:b/>
          <w:sz w:val="44"/>
          <w:szCs w:val="44"/>
          <w:lang w:eastAsia="zh-CN"/>
        </w:rPr>
      </w:pPr>
      <w:r>
        <w:rPr>
          <w:rFonts w:hint="eastAsia" w:ascii="宋体" w:hAnsi="宋体"/>
          <w:b/>
          <w:sz w:val="44"/>
          <w:szCs w:val="44"/>
        </w:rPr>
        <w:t>关于做好2023年度全国卫生专业技术资格</w:t>
      </w:r>
    </w:p>
    <w:p>
      <w:pPr>
        <w:jc w:val="center"/>
        <w:rPr>
          <w:rFonts w:hint="eastAsia" w:ascii="宋体" w:hAnsi="宋体"/>
          <w:b/>
          <w:sz w:val="44"/>
          <w:szCs w:val="44"/>
        </w:rPr>
      </w:pPr>
      <w:r>
        <w:rPr>
          <w:rFonts w:hint="eastAsia" w:ascii="宋体" w:hAnsi="宋体"/>
          <w:b/>
          <w:sz w:val="44"/>
          <w:szCs w:val="44"/>
        </w:rPr>
        <w:t>考试报名和考务工作的通知</w:t>
      </w:r>
    </w:p>
    <w:p>
      <w:pPr>
        <w:jc w:val="center"/>
        <w:rPr>
          <w:rFonts w:hint="eastAsia" w:ascii="宋体" w:hAnsi="宋体"/>
          <w:b/>
          <w:sz w:val="44"/>
          <w:szCs w:val="44"/>
        </w:rPr>
      </w:pPr>
    </w:p>
    <w:p>
      <w:pPr>
        <w:jc w:val="center"/>
        <w:rPr>
          <w:rFonts w:hint="eastAsia" w:ascii="楷体_GB2312" w:eastAsia="楷体_GB2312"/>
          <w:sz w:val="32"/>
        </w:rPr>
      </w:pPr>
      <w:r>
        <w:rPr>
          <w:rFonts w:hint="eastAsia" w:ascii="宋体" w:hAnsi="宋体" w:cs="宋体"/>
          <w:sz w:val="32"/>
        </w:rPr>
        <w:t>邢</w:t>
      </w:r>
      <w:r>
        <w:rPr>
          <w:rFonts w:hint="eastAsia" w:ascii="楷体_GB2312" w:eastAsia="楷体_GB2312"/>
          <w:sz w:val="32"/>
        </w:rPr>
        <w:t>人考发【2022】</w:t>
      </w:r>
      <w:r>
        <w:rPr>
          <w:rFonts w:hint="eastAsia" w:ascii="楷体_GB2312" w:eastAsia="楷体_GB2312"/>
          <w:sz w:val="32"/>
          <w:lang w:val="en-US" w:eastAsia="zh-CN"/>
        </w:rPr>
        <w:t>35</w:t>
      </w:r>
      <w:r>
        <w:rPr>
          <w:rFonts w:hint="eastAsia" w:ascii="楷体_GB2312" w:eastAsia="楷体_GB2312"/>
          <w:sz w:val="32"/>
        </w:rPr>
        <w:t>号</w:t>
      </w:r>
    </w:p>
    <w:p>
      <w:pPr>
        <w:jc w:val="center"/>
        <w:rPr>
          <w:rFonts w:hint="eastAsia" w:ascii="楷体_GB2312" w:eastAsia="楷体_GB2312"/>
          <w:sz w:val="32"/>
        </w:rPr>
      </w:pPr>
    </w:p>
    <w:p>
      <w:pPr>
        <w:pStyle w:val="2"/>
        <w:rPr>
          <w:rFonts w:hint="eastAsia" w:ascii="仿宋" w:hAnsi="仿宋" w:eastAsia="仿宋" w:cs="仿宋"/>
          <w:sz w:val="32"/>
          <w:szCs w:val="32"/>
        </w:rPr>
      </w:pPr>
      <w:r>
        <w:rPr>
          <w:rFonts w:hint="eastAsia" w:ascii="仿宋" w:hAnsi="仿宋" w:eastAsia="仿宋" w:cs="仿宋"/>
          <w:sz w:val="32"/>
          <w:szCs w:val="32"/>
        </w:rPr>
        <w:t>各县（市、区）人力资源和社会保障局，市直有关部门及中省属驻邢有关单位人事处（科）：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根据河北省人事考试局《关于做好2023年度卫生专业技术资格考试报名和考务工作安排的通知》（冀人考发[2022]58号）的有关要求，为做好2023年度全国卫生专业技术资格考试(以下简称考试)考务工作，现将有关事项通知如下：</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考试报名全国统一采用网上报名方式，报考人员须经过网上预报名、现场资格确认、网上缴费三个阶段方能完成全部报名流程。各县（市、区）人力资源和社会保障局，市直有关部门及中省属驻邢有关单位人事处（科）在规定时间内完成考生报考信息的初审和材料汇总工作。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b/>
          <w:sz w:val="32"/>
          <w:szCs w:val="32"/>
        </w:rPr>
        <w:t>网上预报名。</w:t>
      </w:r>
      <w:r>
        <w:rPr>
          <w:rFonts w:hint="eastAsia" w:ascii="仿宋" w:hAnsi="仿宋" w:eastAsia="仿宋" w:cs="仿宋"/>
          <w:sz w:val="32"/>
          <w:szCs w:val="32"/>
        </w:rPr>
        <w:t>2022年12月30日至2023年1月12日期间，考生可登录中国卫生人才网（www.21wecan.com）进行网上预报名。考生需网上填报个人信息、上传报名数码照片（</w:t>
      </w:r>
      <w:r>
        <w:rPr>
          <w:rFonts w:hint="eastAsia" w:ascii="仿宋" w:hAnsi="仿宋" w:eastAsia="仿宋" w:cs="仿宋"/>
          <w:bCs/>
          <w:sz w:val="32"/>
          <w:szCs w:val="32"/>
        </w:rPr>
        <w:t>近期</w:t>
      </w:r>
      <w:r>
        <w:rPr>
          <w:rFonts w:hint="eastAsia" w:ascii="仿宋" w:hAnsi="仿宋" w:eastAsia="仿宋" w:cs="仿宋"/>
          <w:sz w:val="32"/>
          <w:szCs w:val="32"/>
        </w:rPr>
        <w:t>、</w:t>
      </w:r>
      <w:r>
        <w:rPr>
          <w:rFonts w:hint="eastAsia" w:ascii="仿宋" w:hAnsi="仿宋" w:eastAsia="仿宋" w:cs="仿宋"/>
          <w:bCs/>
          <w:sz w:val="32"/>
          <w:szCs w:val="32"/>
        </w:rPr>
        <w:t>正面</w:t>
      </w:r>
      <w:r>
        <w:rPr>
          <w:rFonts w:hint="eastAsia" w:ascii="仿宋" w:hAnsi="仿宋" w:eastAsia="仿宋" w:cs="仿宋"/>
          <w:sz w:val="32"/>
          <w:szCs w:val="32"/>
        </w:rPr>
        <w:t>、</w:t>
      </w:r>
      <w:r>
        <w:rPr>
          <w:rFonts w:hint="eastAsia" w:ascii="仿宋" w:hAnsi="仿宋" w:eastAsia="仿宋" w:cs="仿宋"/>
          <w:bCs/>
          <w:sz w:val="32"/>
          <w:szCs w:val="32"/>
        </w:rPr>
        <w:t>免冠</w:t>
      </w:r>
      <w:r>
        <w:rPr>
          <w:rFonts w:hint="eastAsia" w:ascii="仿宋" w:hAnsi="仿宋" w:eastAsia="仿宋" w:cs="仿宋"/>
          <w:sz w:val="32"/>
          <w:szCs w:val="32"/>
        </w:rPr>
        <w:t>、</w:t>
      </w:r>
      <w:r>
        <w:rPr>
          <w:rFonts w:hint="eastAsia" w:ascii="仿宋" w:hAnsi="仿宋" w:eastAsia="仿宋" w:cs="仿宋"/>
          <w:bCs/>
          <w:sz w:val="32"/>
          <w:szCs w:val="32"/>
        </w:rPr>
        <w:t>白底</w:t>
      </w:r>
      <w:r>
        <w:rPr>
          <w:rFonts w:hint="eastAsia" w:ascii="仿宋" w:hAnsi="仿宋" w:eastAsia="仿宋" w:cs="仿宋"/>
          <w:sz w:val="32"/>
          <w:szCs w:val="32"/>
        </w:rPr>
        <w:t>、小二寸）及学历信息。考生报名信息每修改保存一次即生成新的验证码，保存提交后打印带有最终验证码的《2023年度卫生专业技术资格考试申报表》（以下简称申报表）进行现场确认。</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2023年考试报名工作我省将开通历史考生自动确认功能,即报考信息和上一年度完全一致的考生在考试报名时将自动确认,不再打印报名表,自动确认后可直接网上缴费，完成报名。</w:t>
      </w:r>
      <w:r>
        <w:rPr>
          <w:rFonts w:hint="eastAsia" w:ascii="仿宋" w:hAnsi="仿宋" w:eastAsia="仿宋" w:cs="仿宋"/>
          <w:color w:val="FF0000"/>
          <w:sz w:val="32"/>
          <w:szCs w:val="32"/>
        </w:rPr>
        <w:t>更改信息的历史考生将会导致自动确认不成功，还需携带报名材料按时间要求到现场完成确认,审核完成才可正常缴费。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b/>
          <w:sz w:val="32"/>
          <w:szCs w:val="32"/>
        </w:rPr>
        <w:t>现场确认和资格审核。</w:t>
      </w:r>
      <w:r>
        <w:rPr>
          <w:rFonts w:hint="eastAsia" w:ascii="仿宋" w:hAnsi="仿宋" w:eastAsia="仿宋" w:cs="仿宋"/>
          <w:color w:val="FF0000"/>
          <w:sz w:val="32"/>
          <w:szCs w:val="32"/>
        </w:rPr>
        <w:t>我市现场确认和资格审核时间为2023年1月10日至13日</w:t>
      </w:r>
      <w:r>
        <w:rPr>
          <w:rFonts w:hint="eastAsia" w:ascii="仿宋" w:hAnsi="仿宋" w:eastAsia="仿宋" w:cs="仿宋"/>
          <w:sz w:val="32"/>
          <w:szCs w:val="32"/>
        </w:rPr>
        <w:t>，各县（市、区）人力资源和社会保障局</w:t>
      </w:r>
      <w:r>
        <w:rPr>
          <w:rFonts w:hint="eastAsia" w:ascii="仿宋" w:hAnsi="仿宋" w:eastAsia="仿宋" w:cs="仿宋"/>
          <w:sz w:val="32"/>
          <w:szCs w:val="32"/>
          <w:lang w:eastAsia="zh-CN"/>
        </w:rPr>
        <w:t>、</w:t>
      </w:r>
      <w:r>
        <w:rPr>
          <w:rFonts w:hint="eastAsia" w:ascii="仿宋" w:hAnsi="仿宋" w:eastAsia="仿宋" w:cs="仿宋"/>
          <w:sz w:val="32"/>
          <w:szCs w:val="32"/>
        </w:rPr>
        <w:t>市直有关部门及中省属驻邢有关单位人事处（科）</w:t>
      </w:r>
      <w:r>
        <w:rPr>
          <w:rFonts w:hint="eastAsia" w:ascii="仿宋" w:hAnsi="仿宋" w:eastAsia="仿宋" w:cs="仿宋"/>
          <w:sz w:val="32"/>
          <w:szCs w:val="32"/>
          <w:lang w:eastAsia="zh-CN"/>
        </w:rPr>
        <w:t>参考</w:t>
      </w:r>
      <w:r>
        <w:rPr>
          <w:rFonts w:hint="eastAsia" w:ascii="仿宋" w:hAnsi="仿宋" w:eastAsia="仿宋" w:cs="仿宋"/>
          <w:sz w:val="32"/>
          <w:szCs w:val="32"/>
        </w:rPr>
        <w:t>具体上报材料时间。</w:t>
      </w:r>
    </w:p>
    <w:p>
      <w:pPr>
        <w:ind w:firstLine="643" w:firstLineChars="200"/>
        <w:rPr>
          <w:rFonts w:hint="eastAsia" w:ascii="仿宋" w:hAnsi="仿宋" w:eastAsia="仿宋" w:cs="仿宋"/>
          <w:sz w:val="32"/>
          <w:szCs w:val="32"/>
        </w:rPr>
      </w:pPr>
      <w:r>
        <w:rPr>
          <w:rFonts w:hint="eastAsia" w:ascii="仿宋" w:hAnsi="仿宋" w:eastAsia="仿宋" w:cs="仿宋"/>
          <w:b/>
          <w:sz w:val="32"/>
          <w:szCs w:val="32"/>
        </w:rPr>
        <w:t>各单位均按属地原则组织报名和资格审查工作。</w:t>
      </w:r>
      <w:r>
        <w:rPr>
          <w:rFonts w:hint="eastAsia" w:ascii="仿宋" w:hAnsi="仿宋" w:eastAsia="仿宋" w:cs="仿宋"/>
          <w:color w:val="FF0000"/>
          <w:sz w:val="32"/>
          <w:szCs w:val="32"/>
        </w:rPr>
        <w:t>现场确认时报考人员须持考试申报表、身份证、毕业证、资格证、医师执业资格证书（绿本）</w:t>
      </w:r>
      <w:r>
        <w:rPr>
          <w:rFonts w:hint="eastAsia" w:ascii="仿宋" w:hAnsi="仿宋" w:eastAsia="仿宋" w:cs="仿宋"/>
          <w:color w:val="FF0000"/>
          <w:sz w:val="32"/>
          <w:szCs w:val="32"/>
          <w:lang w:eastAsia="zh-CN"/>
        </w:rPr>
        <w:t>原件</w:t>
      </w:r>
      <w:r>
        <w:rPr>
          <w:rFonts w:hint="eastAsia" w:ascii="仿宋" w:hAnsi="仿宋" w:eastAsia="仿宋" w:cs="仿宋"/>
          <w:color w:val="FF0000"/>
          <w:sz w:val="32"/>
          <w:szCs w:val="32"/>
        </w:rPr>
        <w:t>、医师资格证（红本）原件、复印件及注册学历备案表各1份,新冠肺炎疫情防控一线医务人员报考还需提供《新冠肺炎疫情防控一线医务人员报考确认表》。初、中级及临床、口腔、中医类别需分开上报。</w:t>
      </w:r>
      <w:r>
        <w:rPr>
          <w:rFonts w:hint="eastAsia" w:ascii="仿宋" w:hAnsi="仿宋" w:eastAsia="仿宋" w:cs="仿宋"/>
          <w:sz w:val="32"/>
          <w:szCs w:val="32"/>
        </w:rPr>
        <w:t>在资格审查过程中，要对审核合格的考生的申报表及相关证件复印件签字盖章。对弄虚作假骗取考试资格的应试人员及协助应试人员骗取考试资格的工作人员，将按照人社部第31号令严肃处理。</w:t>
      </w:r>
    </w:p>
    <w:p>
      <w:pPr>
        <w:ind w:firstLine="643" w:firstLineChars="200"/>
        <w:rPr>
          <w:rFonts w:hint="eastAsia" w:ascii="仿宋" w:hAnsi="仿宋" w:eastAsia="仿宋" w:cs="仿宋"/>
          <w:sz w:val="32"/>
          <w:szCs w:val="32"/>
        </w:rPr>
      </w:pPr>
      <w:r>
        <w:rPr>
          <w:rFonts w:hint="eastAsia" w:ascii="仿宋" w:hAnsi="仿宋" w:eastAsia="仿宋" w:cs="仿宋"/>
          <w:b/>
          <w:sz w:val="32"/>
          <w:szCs w:val="32"/>
        </w:rPr>
        <w:t>三、报名信息修改。</w:t>
      </w:r>
      <w:r>
        <w:rPr>
          <w:rFonts w:hint="eastAsia" w:ascii="仿宋" w:hAnsi="仿宋" w:eastAsia="仿宋" w:cs="仿宋"/>
          <w:sz w:val="32"/>
          <w:szCs w:val="32"/>
        </w:rPr>
        <w:t>审核考生报考专业和科目修改的截止时间为2023年2月13日。</w:t>
      </w:r>
    </w:p>
    <w:p>
      <w:pPr>
        <w:ind w:firstLine="643" w:firstLineChars="200"/>
        <w:rPr>
          <w:rFonts w:hint="eastAsia" w:ascii="仿宋" w:hAnsi="仿宋" w:eastAsia="仿宋" w:cs="仿宋"/>
          <w:sz w:val="32"/>
          <w:szCs w:val="32"/>
        </w:rPr>
      </w:pPr>
      <w:r>
        <w:rPr>
          <w:rFonts w:hint="eastAsia" w:ascii="仿宋" w:hAnsi="仿宋" w:eastAsia="仿宋" w:cs="仿宋"/>
          <w:b/>
          <w:sz w:val="32"/>
          <w:szCs w:val="32"/>
        </w:rPr>
        <w:t>四、考生缴费。</w:t>
      </w:r>
      <w:r>
        <w:rPr>
          <w:rFonts w:hint="eastAsia" w:ascii="仿宋" w:hAnsi="仿宋" w:eastAsia="仿宋" w:cs="仿宋"/>
          <w:sz w:val="32"/>
          <w:szCs w:val="32"/>
        </w:rPr>
        <w:t>全省统一采用网上支付方式收缴考生考试费用。考生待考区完成报名资格终审后方可进行网上缴费，网上缴费日期为2023年2月17日至2月28日，未在规定时间内完成网上缴费的，视为自动放弃考试。各单位须加强宣传，做好考试报名缴费指导工作，注意提醒考生网上缴费开始后将不能再进行资格审核工作，务必在规定时间内完成全部报名手续。考生可在报名过程中根据系统提示关注国家卫生健康委人才交流中心微信公众号获取报名进程信息。</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五、考试实施</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1、护理学初级（师）专业采用纸笔作答方式进行考试的具体安排如下：</w:t>
      </w:r>
    </w:p>
    <w:tbl>
      <w:tblPr>
        <w:tblStyle w:val="6"/>
        <w:tblW w:w="88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4"/>
        <w:gridCol w:w="2944"/>
        <w:gridCol w:w="2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944"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考试科目</w:t>
            </w:r>
          </w:p>
        </w:tc>
        <w:tc>
          <w:tcPr>
            <w:tcW w:w="5889" w:type="dxa"/>
            <w:gridSpan w:val="2"/>
            <w:vAlign w:val="center"/>
          </w:tcPr>
          <w:p>
            <w:pPr>
              <w:jc w:val="center"/>
              <w:rPr>
                <w:rFonts w:hint="eastAsia" w:ascii="仿宋" w:hAnsi="仿宋" w:eastAsia="仿宋" w:cs="仿宋"/>
                <w:sz w:val="32"/>
                <w:szCs w:val="32"/>
              </w:rPr>
            </w:pPr>
            <w:r>
              <w:rPr>
                <w:rFonts w:hint="eastAsia" w:ascii="仿宋" w:hAnsi="仿宋" w:eastAsia="仿宋" w:cs="仿宋"/>
                <w:sz w:val="32"/>
                <w:szCs w:val="32"/>
              </w:rPr>
              <w:t>考试日期和时间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944"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基础知识</w:t>
            </w:r>
          </w:p>
        </w:tc>
        <w:tc>
          <w:tcPr>
            <w:tcW w:w="2944" w:type="dxa"/>
            <w:vMerge w:val="restart"/>
            <w:vAlign w:val="center"/>
          </w:tcPr>
          <w:p>
            <w:pPr>
              <w:jc w:val="center"/>
              <w:rPr>
                <w:rFonts w:hint="eastAsia" w:ascii="仿宋" w:hAnsi="仿宋" w:eastAsia="仿宋" w:cs="仿宋"/>
                <w:sz w:val="32"/>
                <w:szCs w:val="32"/>
              </w:rPr>
            </w:pPr>
            <w:r>
              <w:rPr>
                <w:rFonts w:hint="eastAsia" w:ascii="仿宋" w:hAnsi="仿宋" w:eastAsia="仿宋" w:cs="仿宋"/>
                <w:sz w:val="32"/>
                <w:szCs w:val="32"/>
              </w:rPr>
              <w:t>4月15日</w:t>
            </w:r>
          </w:p>
        </w:tc>
        <w:tc>
          <w:tcPr>
            <w:tcW w:w="2945"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9：00-11：00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944"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相关专业知识</w:t>
            </w:r>
          </w:p>
        </w:tc>
        <w:tc>
          <w:tcPr>
            <w:tcW w:w="2944" w:type="dxa"/>
            <w:vMerge w:val="continue"/>
            <w:vAlign w:val="center"/>
          </w:tcPr>
          <w:p>
            <w:pPr>
              <w:jc w:val="center"/>
              <w:rPr>
                <w:rFonts w:hint="eastAsia" w:ascii="仿宋" w:hAnsi="仿宋" w:eastAsia="仿宋" w:cs="仿宋"/>
                <w:sz w:val="32"/>
                <w:szCs w:val="32"/>
              </w:rPr>
            </w:pPr>
          </w:p>
        </w:tc>
        <w:tc>
          <w:tcPr>
            <w:tcW w:w="2945"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14：00-16：00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944"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专业知识</w:t>
            </w:r>
          </w:p>
        </w:tc>
        <w:tc>
          <w:tcPr>
            <w:tcW w:w="2944" w:type="dxa"/>
            <w:vMerge w:val="restart"/>
            <w:vAlign w:val="center"/>
          </w:tcPr>
          <w:p>
            <w:pPr>
              <w:jc w:val="center"/>
              <w:rPr>
                <w:rFonts w:hint="eastAsia" w:ascii="仿宋" w:hAnsi="仿宋" w:eastAsia="仿宋" w:cs="仿宋"/>
                <w:sz w:val="32"/>
                <w:szCs w:val="32"/>
              </w:rPr>
            </w:pPr>
            <w:r>
              <w:rPr>
                <w:rFonts w:hint="eastAsia" w:ascii="仿宋" w:hAnsi="仿宋" w:eastAsia="仿宋" w:cs="仿宋"/>
                <w:sz w:val="32"/>
                <w:szCs w:val="32"/>
              </w:rPr>
              <w:t>4月16日</w:t>
            </w:r>
          </w:p>
        </w:tc>
        <w:tc>
          <w:tcPr>
            <w:tcW w:w="2945"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9：00-11：00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944"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专业实践能力</w:t>
            </w:r>
          </w:p>
        </w:tc>
        <w:tc>
          <w:tcPr>
            <w:tcW w:w="2944" w:type="dxa"/>
            <w:vMerge w:val="continue"/>
            <w:vAlign w:val="center"/>
          </w:tcPr>
          <w:p>
            <w:pPr>
              <w:jc w:val="center"/>
              <w:rPr>
                <w:rFonts w:hint="eastAsia" w:ascii="仿宋" w:hAnsi="仿宋" w:eastAsia="仿宋" w:cs="仿宋"/>
                <w:sz w:val="32"/>
                <w:szCs w:val="32"/>
              </w:rPr>
            </w:pPr>
          </w:p>
        </w:tc>
        <w:tc>
          <w:tcPr>
            <w:tcW w:w="2945"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14：00-16：00</w:t>
            </w:r>
          </w:p>
        </w:tc>
      </w:tr>
    </w:tbl>
    <w:p>
      <w:pPr>
        <w:rPr>
          <w:rFonts w:hint="eastAsia" w:ascii="仿宋" w:hAnsi="仿宋" w:eastAsia="仿宋" w:cs="仿宋"/>
          <w:sz w:val="32"/>
          <w:szCs w:val="32"/>
        </w:rPr>
      </w:pPr>
      <w:r>
        <w:rPr>
          <w:rFonts w:hint="eastAsia" w:ascii="仿宋" w:hAnsi="仿宋" w:eastAsia="仿宋" w:cs="仿宋"/>
          <w:b/>
          <w:sz w:val="32"/>
          <w:szCs w:val="32"/>
        </w:rPr>
        <w:t xml:space="preserve">    2、</w:t>
      </w:r>
      <w:r>
        <w:rPr>
          <w:rFonts w:hint="eastAsia" w:ascii="仿宋" w:hAnsi="仿宋" w:eastAsia="仿宋" w:cs="仿宋"/>
          <w:sz w:val="32"/>
          <w:szCs w:val="32"/>
        </w:rPr>
        <w:t>其他118个专业采用人机对话方式进行考试的具体安排如下：</w:t>
      </w:r>
    </w:p>
    <w:tbl>
      <w:tblPr>
        <w:tblStyle w:val="6"/>
        <w:tblW w:w="88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4"/>
        <w:gridCol w:w="2945"/>
        <w:gridCol w:w="2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44"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考试科目</w:t>
            </w:r>
          </w:p>
        </w:tc>
        <w:tc>
          <w:tcPr>
            <w:tcW w:w="5890" w:type="dxa"/>
            <w:gridSpan w:val="2"/>
            <w:vAlign w:val="center"/>
          </w:tcPr>
          <w:p>
            <w:pPr>
              <w:jc w:val="center"/>
              <w:rPr>
                <w:rFonts w:hint="eastAsia" w:ascii="仿宋" w:hAnsi="仿宋" w:eastAsia="仿宋" w:cs="仿宋"/>
                <w:sz w:val="32"/>
                <w:szCs w:val="32"/>
              </w:rPr>
            </w:pPr>
            <w:r>
              <w:rPr>
                <w:rFonts w:hint="eastAsia" w:ascii="仿宋" w:hAnsi="仿宋" w:eastAsia="仿宋" w:cs="仿宋"/>
                <w:sz w:val="32"/>
                <w:szCs w:val="32"/>
              </w:rPr>
              <w:t>考试日期和时间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44"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基础知识</w:t>
            </w:r>
          </w:p>
        </w:tc>
        <w:tc>
          <w:tcPr>
            <w:tcW w:w="2945" w:type="dxa"/>
            <w:vMerge w:val="restart"/>
            <w:vAlign w:val="center"/>
          </w:tcPr>
          <w:p>
            <w:pPr>
              <w:jc w:val="center"/>
              <w:rPr>
                <w:rFonts w:hint="eastAsia" w:ascii="仿宋" w:hAnsi="仿宋" w:eastAsia="仿宋" w:cs="仿宋"/>
                <w:sz w:val="32"/>
                <w:szCs w:val="32"/>
                <w:lang w:eastAsia="zh-CN"/>
              </w:rPr>
            </w:pPr>
            <w:r>
              <w:rPr>
                <w:rFonts w:hint="eastAsia" w:ascii="仿宋" w:hAnsi="仿宋" w:eastAsia="仿宋" w:cs="仿宋"/>
                <w:sz w:val="32"/>
                <w:szCs w:val="32"/>
              </w:rPr>
              <w:t>4月15、16日；</w:t>
            </w:r>
          </w:p>
          <w:p>
            <w:pPr>
              <w:jc w:val="center"/>
              <w:rPr>
                <w:rFonts w:hint="eastAsia" w:ascii="仿宋" w:hAnsi="仿宋" w:eastAsia="仿宋" w:cs="仿宋"/>
                <w:sz w:val="32"/>
                <w:szCs w:val="32"/>
              </w:rPr>
            </w:pPr>
            <w:r>
              <w:rPr>
                <w:rFonts w:hint="eastAsia" w:ascii="仿宋" w:hAnsi="仿宋" w:eastAsia="仿宋" w:cs="仿宋"/>
                <w:sz w:val="32"/>
                <w:szCs w:val="32"/>
              </w:rPr>
              <w:t>22、23日</w:t>
            </w:r>
          </w:p>
        </w:tc>
        <w:tc>
          <w:tcPr>
            <w:tcW w:w="2945"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8：30-10：00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44"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相关专业知识</w:t>
            </w:r>
          </w:p>
        </w:tc>
        <w:tc>
          <w:tcPr>
            <w:tcW w:w="2945" w:type="dxa"/>
            <w:vMerge w:val="continue"/>
            <w:vAlign w:val="center"/>
          </w:tcPr>
          <w:p>
            <w:pPr>
              <w:jc w:val="center"/>
              <w:rPr>
                <w:rFonts w:hint="eastAsia" w:ascii="仿宋" w:hAnsi="仿宋" w:eastAsia="仿宋" w:cs="仿宋"/>
                <w:sz w:val="32"/>
                <w:szCs w:val="32"/>
              </w:rPr>
            </w:pPr>
          </w:p>
        </w:tc>
        <w:tc>
          <w:tcPr>
            <w:tcW w:w="2945"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10：45-12：15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jc w:val="center"/>
        </w:trPr>
        <w:tc>
          <w:tcPr>
            <w:tcW w:w="2944"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专业知识</w:t>
            </w:r>
          </w:p>
        </w:tc>
        <w:tc>
          <w:tcPr>
            <w:tcW w:w="2945" w:type="dxa"/>
            <w:vMerge w:val="continue"/>
            <w:vAlign w:val="center"/>
          </w:tcPr>
          <w:p>
            <w:pPr>
              <w:jc w:val="center"/>
              <w:rPr>
                <w:rFonts w:hint="eastAsia" w:ascii="仿宋" w:hAnsi="仿宋" w:eastAsia="仿宋" w:cs="仿宋"/>
                <w:sz w:val="32"/>
                <w:szCs w:val="32"/>
              </w:rPr>
            </w:pPr>
          </w:p>
        </w:tc>
        <w:tc>
          <w:tcPr>
            <w:tcW w:w="2945"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14：00-15：30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2944"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专业实践能力</w:t>
            </w:r>
          </w:p>
        </w:tc>
        <w:tc>
          <w:tcPr>
            <w:tcW w:w="2945" w:type="dxa"/>
            <w:vMerge w:val="continue"/>
            <w:vAlign w:val="center"/>
          </w:tcPr>
          <w:p>
            <w:pPr>
              <w:jc w:val="center"/>
              <w:rPr>
                <w:rFonts w:hint="eastAsia" w:ascii="仿宋" w:hAnsi="仿宋" w:eastAsia="仿宋" w:cs="仿宋"/>
                <w:sz w:val="32"/>
                <w:szCs w:val="32"/>
              </w:rPr>
            </w:pPr>
          </w:p>
        </w:tc>
        <w:tc>
          <w:tcPr>
            <w:tcW w:w="2945"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16：15-17：45</w:t>
            </w:r>
          </w:p>
        </w:tc>
      </w:tr>
    </w:tbl>
    <w:p>
      <w:pPr>
        <w:rPr>
          <w:rFonts w:hint="eastAsia" w:ascii="仿宋" w:hAnsi="仿宋" w:eastAsia="仿宋" w:cs="仿宋"/>
          <w:sz w:val="32"/>
          <w:szCs w:val="32"/>
        </w:rPr>
      </w:pPr>
      <w:r>
        <w:rPr>
          <w:rFonts w:hint="eastAsia" w:ascii="仿宋" w:hAnsi="仿宋" w:eastAsia="仿宋" w:cs="仿宋"/>
          <w:sz w:val="32"/>
          <w:szCs w:val="32"/>
        </w:rPr>
        <w:t xml:space="preserve">    3、具体机考专业的考试时间安排由国家卫生健康委人才交流服务中心根据报名情况另行通知。</w:t>
      </w:r>
    </w:p>
    <w:p>
      <w:pPr>
        <w:ind w:firstLine="643" w:firstLineChars="200"/>
        <w:rPr>
          <w:rFonts w:hint="eastAsia" w:ascii="仿宋" w:hAnsi="仿宋" w:eastAsia="仿宋" w:cs="仿宋"/>
          <w:sz w:val="32"/>
          <w:szCs w:val="32"/>
        </w:rPr>
      </w:pPr>
      <w:r>
        <w:rPr>
          <w:rFonts w:hint="eastAsia" w:ascii="仿宋" w:hAnsi="仿宋" w:eastAsia="仿宋" w:cs="仿宋"/>
          <w:b/>
          <w:sz w:val="32"/>
          <w:szCs w:val="32"/>
        </w:rPr>
        <w:t>六、</w:t>
      </w:r>
      <w:r>
        <w:rPr>
          <w:rFonts w:hint="eastAsia" w:ascii="仿宋" w:hAnsi="仿宋" w:eastAsia="仿宋" w:cs="仿宋"/>
          <w:sz w:val="32"/>
          <w:szCs w:val="32"/>
        </w:rPr>
        <w:t>2023年4月6日至4月23日考生可登录中国卫生人才网打印准考证。</w:t>
      </w:r>
    </w:p>
    <w:p>
      <w:pPr>
        <w:ind w:firstLine="643" w:firstLineChars="200"/>
        <w:rPr>
          <w:rFonts w:hint="eastAsia" w:ascii="仿宋" w:hAnsi="仿宋" w:eastAsia="仿宋" w:cs="仿宋"/>
          <w:sz w:val="32"/>
          <w:szCs w:val="32"/>
        </w:rPr>
      </w:pPr>
      <w:r>
        <w:rPr>
          <w:rFonts w:hint="eastAsia" w:ascii="仿宋" w:hAnsi="仿宋" w:eastAsia="仿宋" w:cs="仿宋"/>
          <w:b/>
          <w:sz w:val="32"/>
          <w:szCs w:val="32"/>
        </w:rPr>
        <w:t>七、</w:t>
      </w:r>
      <w:r>
        <w:rPr>
          <w:rFonts w:hint="eastAsia" w:ascii="仿宋" w:hAnsi="仿宋" w:eastAsia="仿宋" w:cs="仿宋"/>
          <w:sz w:val="32"/>
          <w:szCs w:val="32"/>
        </w:rPr>
        <w:t>考试结束后2个月内中国卫生人才网公布考试成绩。届时考生可凭本人准考证号和有效证件号进行成绩查询，并下载打印成绩单。</w:t>
      </w:r>
    </w:p>
    <w:p>
      <w:pPr>
        <w:ind w:firstLine="643" w:firstLineChars="200"/>
        <w:rPr>
          <w:rFonts w:hint="eastAsia" w:ascii="仿宋" w:hAnsi="仿宋" w:eastAsia="仿宋" w:cs="仿宋"/>
          <w:sz w:val="32"/>
          <w:szCs w:val="32"/>
        </w:rPr>
      </w:pPr>
      <w:r>
        <w:rPr>
          <w:rFonts w:hint="eastAsia" w:ascii="仿宋" w:hAnsi="仿宋" w:eastAsia="仿宋" w:cs="仿宋"/>
          <w:b/>
          <w:sz w:val="32"/>
          <w:szCs w:val="32"/>
        </w:rPr>
        <w:t>八、考试收费。</w:t>
      </w:r>
      <w:r>
        <w:rPr>
          <w:rFonts w:hint="eastAsia" w:ascii="仿宋" w:hAnsi="仿宋" w:eastAsia="仿宋" w:cs="仿宋"/>
          <w:sz w:val="32"/>
          <w:szCs w:val="32"/>
        </w:rPr>
        <w:t>根据冀价行费[2013]54号文件有关规定，考试收费按如下标准收取，即：考试采用纸笔作答方式科目考务费每人每科55元，采用人机对话方式作答科目考务费每人每科75元。报名费每人10元。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附件：</w:t>
      </w:r>
    </w:p>
    <w:p>
      <w:pPr>
        <w:numPr>
          <w:ilvl w:val="0"/>
          <w:numId w:val="0"/>
        </w:numPr>
        <w:ind w:left="420" w:leftChars="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报</w:t>
      </w:r>
      <w:r>
        <w:rPr>
          <w:rFonts w:hint="eastAsia" w:ascii="仿宋" w:hAnsi="仿宋" w:eastAsia="仿宋" w:cs="仿宋"/>
          <w:sz w:val="32"/>
          <w:szCs w:val="32"/>
          <w:lang w:eastAsia="zh-CN"/>
        </w:rPr>
        <w:t>考</w:t>
      </w:r>
      <w:r>
        <w:rPr>
          <w:rFonts w:hint="eastAsia" w:ascii="仿宋" w:hAnsi="仿宋" w:eastAsia="仿宋" w:cs="仿宋"/>
          <w:sz w:val="32"/>
          <w:szCs w:val="32"/>
        </w:rPr>
        <w:t>条件</w:t>
      </w:r>
    </w:p>
    <w:p>
      <w:pPr>
        <w:numPr>
          <w:ilvl w:val="0"/>
          <w:numId w:val="0"/>
        </w:numPr>
        <w:ind w:left="420" w:leftChars="0"/>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相关规定</w:t>
      </w:r>
    </w:p>
    <w:p>
      <w:pPr>
        <w:numPr>
          <w:ilvl w:val="0"/>
          <w:numId w:val="0"/>
        </w:numPr>
        <w:ind w:left="420" w:leftChars="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卫生专业技术资格考试专业目录</w:t>
      </w:r>
    </w:p>
    <w:p>
      <w:pPr>
        <w:ind w:firstLine="4480" w:firstLineChars="1400"/>
        <w:rPr>
          <w:rFonts w:hint="eastAsia" w:ascii="仿宋" w:hAnsi="仿宋" w:eastAsia="仿宋" w:cs="仿宋"/>
          <w:sz w:val="32"/>
          <w:szCs w:val="32"/>
        </w:rPr>
      </w:pPr>
      <w:r>
        <w:rPr>
          <w:rFonts w:hint="eastAsia" w:ascii="仿宋" w:hAnsi="仿宋" w:eastAsia="仿宋" w:cs="仿宋"/>
          <w:sz w:val="32"/>
          <w:szCs w:val="32"/>
        </w:rPr>
        <w:t xml:space="preserve">邢台市人力资源考试中心  </w:t>
      </w:r>
    </w:p>
    <w:p>
      <w:pPr>
        <w:rPr>
          <w:rFonts w:hint="eastAsia" w:ascii="仿宋" w:hAnsi="仿宋" w:eastAsia="仿宋" w:cs="仿宋_GB2312"/>
          <w:sz w:val="30"/>
          <w:szCs w:val="30"/>
          <w:lang w:val="zh-CN"/>
        </w:rPr>
      </w:pPr>
      <w:r>
        <w:rPr>
          <w:rFonts w:hint="eastAsia" w:ascii="仿宋" w:hAnsi="仿宋" w:eastAsia="仿宋" w:cs="仿宋"/>
          <w:sz w:val="32"/>
          <w:szCs w:val="32"/>
        </w:rPr>
        <w:t xml:space="preserve">                                2022年12月28日</w:t>
      </w:r>
    </w:p>
    <w:p>
      <w:pPr>
        <w:rPr>
          <w:rFonts w:ascii="仿宋" w:hAnsi="仿宋" w:eastAsia="仿宋" w:cs="仿宋_GB2312"/>
          <w:sz w:val="30"/>
          <w:szCs w:val="30"/>
          <w:lang w:val="zh-CN"/>
        </w:rPr>
      </w:pPr>
      <w:r>
        <w:rPr>
          <w:rFonts w:hint="eastAsia" w:ascii="仿宋" w:hAnsi="仿宋" w:eastAsia="仿宋" w:cs="仿宋_GB2312"/>
          <w:sz w:val="30"/>
          <w:szCs w:val="30"/>
          <w:lang w:val="zh-CN"/>
        </w:rPr>
        <w:t>附件</w:t>
      </w:r>
      <w:r>
        <w:rPr>
          <w:rFonts w:hint="eastAsia" w:ascii="仿宋" w:hAnsi="仿宋" w:eastAsia="仿宋" w:cs="仿宋_GB2312"/>
          <w:sz w:val="30"/>
          <w:szCs w:val="30"/>
          <w:lang w:val="en-US" w:eastAsia="zh-CN"/>
        </w:rPr>
        <w:t>1</w:t>
      </w:r>
      <w:r>
        <w:rPr>
          <w:rFonts w:hint="eastAsia" w:ascii="仿宋" w:hAnsi="仿宋" w:eastAsia="仿宋" w:cs="仿宋_GB2312"/>
          <w:sz w:val="30"/>
          <w:szCs w:val="30"/>
          <w:lang w:val="zh-CN"/>
        </w:rPr>
        <w:t>:</w:t>
      </w:r>
    </w:p>
    <w:p>
      <w:pPr>
        <w:widowControl/>
        <w:wordWrap w:val="0"/>
        <w:snapToGrid w:val="0"/>
        <w:spacing w:line="355" w:lineRule="auto"/>
        <w:jc w:val="center"/>
        <w:rPr>
          <w:rFonts w:ascii="宋体" w:hAnsi="宋体" w:cs="宋体"/>
          <w:b/>
          <w:bCs/>
          <w:kern w:val="0"/>
          <w:sz w:val="44"/>
          <w:szCs w:val="44"/>
          <w:shd w:val="clear" w:color="auto" w:fill="FFFFFF"/>
        </w:rPr>
      </w:pPr>
      <w:r>
        <w:rPr>
          <w:rFonts w:hint="eastAsia" w:ascii="宋体" w:hAnsi="宋体" w:cs="宋体"/>
          <w:b/>
          <w:bCs/>
          <w:kern w:val="0"/>
          <w:sz w:val="44"/>
          <w:szCs w:val="44"/>
          <w:shd w:val="clear" w:color="auto" w:fill="FFFFFF"/>
        </w:rPr>
        <w:t>报考条件</w:t>
      </w:r>
    </w:p>
    <w:p>
      <w:pPr>
        <w:widowControl/>
        <w:wordWrap w:val="0"/>
        <w:snapToGrid w:val="0"/>
        <w:spacing w:line="355" w:lineRule="auto"/>
        <w:jc w:val="center"/>
        <w:rPr>
          <w:rFonts w:ascii="仿宋" w:hAnsi="仿宋" w:eastAsia="仿宋"/>
          <w:sz w:val="32"/>
        </w:rPr>
      </w:pPr>
      <w:r>
        <w:rPr>
          <w:rFonts w:hint="eastAsia" w:ascii="仿宋" w:hAnsi="仿宋" w:eastAsia="仿宋"/>
          <w:sz w:val="32"/>
        </w:rPr>
        <w:t>人社部发[2021]51号</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一、初级职称</w:t>
      </w:r>
    </w:p>
    <w:p>
      <w:pPr>
        <w:ind w:firstLine="643" w:firstLineChars="200"/>
        <w:rPr>
          <w:rFonts w:ascii="仿宋" w:hAnsi="仿宋" w:eastAsia="仿宋" w:cs="仿宋"/>
          <w:sz w:val="32"/>
          <w:szCs w:val="32"/>
        </w:rPr>
      </w:pPr>
      <w:r>
        <w:rPr>
          <w:rFonts w:hint="eastAsia" w:ascii="仿宋" w:hAnsi="仿宋" w:eastAsia="仿宋" w:cs="仿宋"/>
          <w:b/>
          <w:bCs/>
          <w:sz w:val="32"/>
          <w:szCs w:val="32"/>
        </w:rPr>
        <w:t>医士（师）：</w:t>
      </w:r>
      <w:r>
        <w:rPr>
          <w:rFonts w:hint="eastAsia" w:ascii="仿宋" w:hAnsi="仿宋" w:eastAsia="仿宋" w:cs="仿宋"/>
          <w:sz w:val="32"/>
          <w:szCs w:val="32"/>
        </w:rPr>
        <w:t>按照《中华人民共和国执业医师法》参加医师资格考试，取得执业助理医师资格，可视同取得医士职称；取得执业医师资格，可视同取得医师职称。按照《中医药法》参加中医医师确有专长人员医师资格考核，取得中医（专长）医师资格，可视同取得医师职称。</w:t>
      </w:r>
    </w:p>
    <w:p>
      <w:pPr>
        <w:ind w:firstLine="643" w:firstLineChars="200"/>
        <w:rPr>
          <w:rFonts w:ascii="仿宋" w:hAnsi="仿宋" w:eastAsia="仿宋" w:cs="仿宋"/>
          <w:sz w:val="32"/>
          <w:szCs w:val="32"/>
        </w:rPr>
      </w:pPr>
      <w:r>
        <w:rPr>
          <w:rFonts w:hint="eastAsia" w:ascii="仿宋" w:hAnsi="仿宋" w:eastAsia="仿宋" w:cs="仿宋"/>
          <w:b/>
          <w:bCs/>
          <w:sz w:val="32"/>
          <w:szCs w:val="32"/>
        </w:rPr>
        <w:t>护士（师）：</w:t>
      </w:r>
      <w:r>
        <w:rPr>
          <w:rFonts w:hint="eastAsia" w:ascii="仿宋" w:hAnsi="仿宋" w:eastAsia="仿宋" w:cs="仿宋"/>
          <w:sz w:val="32"/>
          <w:szCs w:val="32"/>
        </w:rPr>
        <w:t>按照《护士条例》参加护士执业资格考试，取得护士执业资格，可视同取得护士职称；具备大学本科及以上学历或学士及以上学位，从事护士执业活动满一年，可直接聘任护师职称。具备大专学历，从事护士执业活动满3年；或具备中专学历，从事护士执业活动满5年，可参加护师资格考试。</w:t>
      </w:r>
    </w:p>
    <w:p>
      <w:pPr>
        <w:ind w:firstLine="643" w:firstLineChars="200"/>
        <w:rPr>
          <w:rFonts w:ascii="仿宋" w:hAnsi="仿宋" w:eastAsia="仿宋" w:cs="仿宋"/>
          <w:sz w:val="32"/>
          <w:szCs w:val="32"/>
        </w:rPr>
      </w:pPr>
      <w:r>
        <w:rPr>
          <w:rFonts w:hint="eastAsia" w:ascii="仿宋" w:hAnsi="仿宋" w:eastAsia="仿宋" w:cs="仿宋"/>
          <w:b/>
          <w:bCs/>
          <w:sz w:val="32"/>
          <w:szCs w:val="32"/>
        </w:rPr>
        <w:t>药（技）士：</w:t>
      </w:r>
      <w:r>
        <w:rPr>
          <w:rFonts w:hint="eastAsia" w:ascii="仿宋" w:hAnsi="仿宋" w:eastAsia="仿宋" w:cs="仿宋"/>
          <w:sz w:val="32"/>
          <w:szCs w:val="32"/>
        </w:rPr>
        <w:t>具备相应专业中专、大专学历，可参加药（技）士资格考试。</w:t>
      </w:r>
    </w:p>
    <w:p>
      <w:pPr>
        <w:ind w:firstLine="643" w:firstLineChars="200"/>
        <w:rPr>
          <w:rFonts w:ascii="仿宋" w:hAnsi="仿宋" w:eastAsia="仿宋" w:cs="仿宋"/>
          <w:sz w:val="32"/>
          <w:szCs w:val="32"/>
        </w:rPr>
      </w:pPr>
      <w:r>
        <w:rPr>
          <w:rFonts w:hint="eastAsia" w:ascii="仿宋" w:hAnsi="仿宋" w:eastAsia="仿宋" w:cs="仿宋"/>
          <w:b/>
          <w:bCs/>
          <w:sz w:val="32"/>
          <w:szCs w:val="32"/>
        </w:rPr>
        <w:t>药（技）师：</w:t>
      </w:r>
      <w:r>
        <w:rPr>
          <w:rFonts w:hint="eastAsia" w:ascii="仿宋" w:hAnsi="仿宋" w:eastAsia="仿宋" w:cs="仿宋"/>
          <w:sz w:val="32"/>
          <w:szCs w:val="32"/>
        </w:rPr>
        <w:t>具备相应专业硕士学位；或具备相应专业大学本科学历或学士学位，从事本专业工作满1年；或具备相应专业大专学历，从事本专业工作满3年；或具备相应专业中专学历，取得药（技）士职称后，从事本专业工作满5年，可参加药（技）师资格考试。</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二、中级职称</w:t>
      </w:r>
    </w:p>
    <w:p>
      <w:pPr>
        <w:ind w:firstLine="640" w:firstLineChars="200"/>
        <w:rPr>
          <w:rFonts w:ascii="仿宋" w:hAnsi="仿宋" w:eastAsia="仿宋" w:cs="仿宋"/>
          <w:sz w:val="32"/>
          <w:szCs w:val="32"/>
        </w:rPr>
      </w:pPr>
      <w:r>
        <w:rPr>
          <w:rFonts w:hint="eastAsia" w:ascii="仿宋" w:hAnsi="仿宋" w:eastAsia="仿宋" w:cs="仿宋"/>
          <w:sz w:val="32"/>
          <w:szCs w:val="32"/>
        </w:rPr>
        <w:t>卫生专业技术人员中级职称实行全国统一考试制度。具备相应专业学历，并符合以下条件的，可报名参加考试：</w:t>
      </w:r>
    </w:p>
    <w:p>
      <w:pPr>
        <w:ind w:firstLine="643" w:firstLineChars="200"/>
        <w:rPr>
          <w:rFonts w:ascii="仿宋" w:hAnsi="仿宋" w:eastAsia="仿宋" w:cs="仿宋"/>
          <w:sz w:val="32"/>
          <w:szCs w:val="32"/>
        </w:rPr>
      </w:pPr>
      <w:r>
        <w:rPr>
          <w:rFonts w:hint="eastAsia" w:ascii="仿宋" w:hAnsi="仿宋" w:eastAsia="仿宋" w:cs="仿宋"/>
          <w:b/>
          <w:bCs/>
          <w:sz w:val="32"/>
          <w:szCs w:val="32"/>
        </w:rPr>
        <w:t>临床、口腔、中医类别主治医师：</w:t>
      </w:r>
      <w:r>
        <w:rPr>
          <w:rFonts w:hint="eastAsia" w:ascii="仿宋" w:hAnsi="仿宋" w:eastAsia="仿宋" w:cs="仿宋"/>
          <w:sz w:val="32"/>
          <w:szCs w:val="32"/>
        </w:rPr>
        <w:t>具备博士学位，并取得住院医师规范化培训合格证书；或具备硕士学位，取得住院医师规范化培训合格证书后从事医疗执业活动满2年；或具备大学本科学历或学士学位，取得住院医师规范化培训合格证书后从事医疗执业活动满2年；或具备大学本科学历或学士学位，经执业医师注册后从事医疗执业活动满4年；或具备大专学历，经执业医师注册后从事医疗执业活动满6年；或具备中专学历，经执业医师注册后从事医疗执业活动满7年。</w:t>
      </w:r>
    </w:p>
    <w:p>
      <w:pPr>
        <w:ind w:firstLine="643" w:firstLineChars="200"/>
        <w:rPr>
          <w:rFonts w:ascii="仿宋" w:hAnsi="仿宋" w:eastAsia="仿宋" w:cs="仿宋"/>
          <w:sz w:val="32"/>
          <w:szCs w:val="32"/>
        </w:rPr>
      </w:pPr>
      <w:r>
        <w:rPr>
          <w:rFonts w:hint="eastAsia" w:ascii="仿宋" w:hAnsi="仿宋" w:eastAsia="仿宋" w:cs="仿宋"/>
          <w:b/>
          <w:bCs/>
          <w:sz w:val="32"/>
          <w:szCs w:val="32"/>
        </w:rPr>
        <w:t>公共卫生类别主管医师：</w:t>
      </w:r>
      <w:r>
        <w:rPr>
          <w:rFonts w:hint="eastAsia" w:ascii="仿宋" w:hAnsi="仿宋" w:eastAsia="仿宋" w:cs="仿宋"/>
          <w:sz w:val="32"/>
          <w:szCs w:val="32"/>
        </w:rPr>
        <w:t>具备博士学位并经执业医师注册后从事公共卫生执业活动；或具备硕士学位，经执业医师注册后从事公共卫生执业活动满2年；或具备大学本科学历或学士学位，经执业医师注册后从事公共卫生执业活动满4年；或具备大专学历，经执业医师注册后从事公共卫生执业活动满6年；或具备中专学历，经执业医师注册后从事公共卫生执业活动满7年。</w:t>
      </w:r>
    </w:p>
    <w:p>
      <w:pPr>
        <w:ind w:firstLine="643" w:firstLineChars="200"/>
        <w:rPr>
          <w:rFonts w:ascii="仿宋" w:hAnsi="仿宋" w:eastAsia="仿宋" w:cs="仿宋"/>
          <w:sz w:val="32"/>
          <w:szCs w:val="32"/>
        </w:rPr>
      </w:pPr>
      <w:r>
        <w:rPr>
          <w:rFonts w:hint="eastAsia" w:ascii="仿宋" w:hAnsi="仿宋" w:eastAsia="仿宋" w:cs="仿宋"/>
          <w:b/>
          <w:bCs/>
          <w:sz w:val="32"/>
          <w:szCs w:val="32"/>
        </w:rPr>
        <w:t>主管护师：</w:t>
      </w:r>
      <w:r>
        <w:rPr>
          <w:rFonts w:hint="eastAsia" w:ascii="仿宋" w:hAnsi="仿宋" w:eastAsia="仿宋" w:cs="仿宋"/>
          <w:sz w:val="32"/>
          <w:szCs w:val="32"/>
        </w:rPr>
        <w:t>具备博士学位并注册从事护理执业活动；或具备硕士学位经注册后从事护理执业活动满2年；或具备大学本科学历或学士学位，经注册并取得护师职称后，从事护理执业活动满4年；或具备大专学历，经注册并取得护师职称后，从事护理执业活动满6年；或具备中专学历，经注册并取得护师职称后，从事护理执业活动满7年。</w:t>
      </w:r>
    </w:p>
    <w:p>
      <w:pPr>
        <w:ind w:firstLine="643" w:firstLineChars="200"/>
        <w:rPr>
          <w:rFonts w:ascii="仿宋" w:hAnsi="仿宋" w:eastAsia="仿宋"/>
          <w:sz w:val="32"/>
        </w:rPr>
      </w:pPr>
      <w:r>
        <w:rPr>
          <w:rFonts w:hint="eastAsia" w:ascii="仿宋" w:hAnsi="仿宋" w:eastAsia="仿宋" w:cs="仿宋"/>
          <w:b/>
          <w:bCs/>
          <w:sz w:val="32"/>
          <w:szCs w:val="32"/>
        </w:rPr>
        <w:t>主管药（技）师：</w:t>
      </w:r>
      <w:r>
        <w:rPr>
          <w:rFonts w:hint="eastAsia" w:ascii="仿宋" w:hAnsi="仿宋" w:eastAsia="仿宋" w:cs="仿宋"/>
          <w:sz w:val="32"/>
          <w:szCs w:val="32"/>
        </w:rPr>
        <w:t>具备博士学位；或具备硕士学位，取得药（技）师职称后，从事本专业工作满2年；或具备大学本科学历或学士学位，取得药（技）师职称后，从事本专业工作满4年；或具备大专学历，取得药（技）师职称后，从事本专业工作满6年；或具备中专学历，取得药（技）师职称后，从事本专业工作满7年。</w:t>
      </w:r>
    </w:p>
    <w:p>
      <w:pPr>
        <w:ind w:firstLine="640" w:firstLineChars="200"/>
        <w:rPr>
          <w:rFonts w:hint="eastAsia" w:ascii="仿宋" w:hAnsi="仿宋" w:eastAsia="仿宋"/>
          <w:sz w:val="32"/>
        </w:rPr>
      </w:pPr>
    </w:p>
    <w:p>
      <w:pPr>
        <w:ind w:firstLine="640" w:firstLineChars="200"/>
        <w:rPr>
          <w:rFonts w:hint="eastAsia" w:ascii="仿宋" w:hAnsi="仿宋" w:eastAsia="仿宋"/>
          <w:sz w:val="32"/>
        </w:rPr>
      </w:pPr>
    </w:p>
    <w:p>
      <w:pPr>
        <w:ind w:firstLine="640" w:firstLineChars="200"/>
        <w:rPr>
          <w:rFonts w:hint="eastAsia" w:ascii="仿宋" w:hAnsi="仿宋" w:eastAsia="仿宋"/>
          <w:sz w:val="32"/>
        </w:rPr>
      </w:pPr>
    </w:p>
    <w:p>
      <w:pPr>
        <w:ind w:firstLine="640" w:firstLineChars="200"/>
        <w:rPr>
          <w:rFonts w:hint="eastAsia" w:ascii="仿宋" w:hAnsi="仿宋" w:eastAsia="仿宋"/>
          <w:sz w:val="32"/>
        </w:rPr>
      </w:pPr>
    </w:p>
    <w:p>
      <w:pPr>
        <w:ind w:firstLine="640" w:firstLineChars="200"/>
        <w:rPr>
          <w:rFonts w:hint="eastAsia" w:ascii="仿宋" w:hAnsi="仿宋" w:eastAsia="仿宋"/>
          <w:sz w:val="32"/>
        </w:rPr>
      </w:pPr>
    </w:p>
    <w:p>
      <w:pPr>
        <w:ind w:firstLine="640" w:firstLineChars="200"/>
        <w:rPr>
          <w:rFonts w:hint="eastAsia" w:ascii="仿宋" w:hAnsi="仿宋" w:eastAsia="仿宋"/>
          <w:sz w:val="32"/>
        </w:rPr>
      </w:pPr>
    </w:p>
    <w:p>
      <w:pPr>
        <w:ind w:firstLine="640" w:firstLineChars="200"/>
        <w:rPr>
          <w:rFonts w:hint="eastAsia" w:ascii="仿宋" w:hAnsi="仿宋" w:eastAsia="仿宋"/>
          <w:sz w:val="32"/>
        </w:rPr>
      </w:pPr>
    </w:p>
    <w:p>
      <w:pPr>
        <w:ind w:firstLine="640" w:firstLineChars="200"/>
        <w:rPr>
          <w:rFonts w:hint="eastAsia" w:ascii="仿宋" w:hAnsi="仿宋" w:eastAsia="仿宋"/>
          <w:sz w:val="32"/>
        </w:rPr>
      </w:pPr>
    </w:p>
    <w:p>
      <w:pPr>
        <w:ind w:firstLine="640" w:firstLineChars="200"/>
        <w:rPr>
          <w:rFonts w:hint="eastAsia" w:ascii="仿宋" w:hAnsi="仿宋" w:eastAsia="仿宋"/>
          <w:sz w:val="32"/>
        </w:rPr>
      </w:pPr>
    </w:p>
    <w:p>
      <w:pPr>
        <w:ind w:firstLine="640" w:firstLineChars="200"/>
        <w:rPr>
          <w:rFonts w:hint="eastAsia" w:ascii="仿宋" w:hAnsi="仿宋" w:eastAsia="仿宋"/>
          <w:sz w:val="32"/>
        </w:rPr>
      </w:pPr>
    </w:p>
    <w:p>
      <w:pPr>
        <w:ind w:firstLine="640" w:firstLineChars="200"/>
        <w:rPr>
          <w:rFonts w:hint="eastAsia" w:ascii="仿宋" w:hAnsi="仿宋" w:eastAsia="仿宋"/>
          <w:sz w:val="32"/>
        </w:rPr>
      </w:pPr>
    </w:p>
    <w:p>
      <w:pPr>
        <w:ind w:firstLine="640" w:firstLineChars="200"/>
        <w:rPr>
          <w:rFonts w:hint="eastAsia" w:ascii="仿宋" w:hAnsi="仿宋" w:eastAsia="仿宋"/>
          <w:sz w:val="32"/>
        </w:rPr>
      </w:pPr>
    </w:p>
    <w:p>
      <w:pPr>
        <w:ind w:firstLine="640" w:firstLineChars="200"/>
        <w:rPr>
          <w:rFonts w:hint="eastAsia" w:ascii="仿宋" w:hAnsi="仿宋" w:eastAsia="仿宋"/>
          <w:sz w:val="32"/>
        </w:rPr>
      </w:pPr>
    </w:p>
    <w:p>
      <w:pPr>
        <w:rPr>
          <w:rFonts w:hint="eastAsia" w:ascii="仿宋" w:hAnsi="仿宋" w:eastAsia="仿宋"/>
          <w:sz w:val="32"/>
        </w:rPr>
      </w:pPr>
      <w:r>
        <w:rPr>
          <w:rFonts w:hint="eastAsia" w:ascii="仿宋" w:hAnsi="仿宋" w:eastAsia="仿宋"/>
          <w:sz w:val="32"/>
        </w:rPr>
        <w:t>附件</w:t>
      </w:r>
      <w:r>
        <w:rPr>
          <w:rFonts w:hint="eastAsia" w:ascii="仿宋" w:hAnsi="仿宋" w:eastAsia="仿宋"/>
          <w:sz w:val="32"/>
          <w:lang w:val="en-US" w:eastAsia="zh-CN"/>
        </w:rPr>
        <w:t>2</w:t>
      </w:r>
      <w:r>
        <w:rPr>
          <w:rFonts w:hint="eastAsia" w:ascii="仿宋" w:hAnsi="仿宋" w:eastAsia="仿宋"/>
          <w:sz w:val="32"/>
        </w:rPr>
        <w:t>：</w:t>
      </w:r>
    </w:p>
    <w:p>
      <w:pPr>
        <w:jc w:val="center"/>
        <w:rPr>
          <w:rFonts w:hint="eastAsia" w:ascii="仿宋" w:hAnsi="仿宋" w:eastAsia="仿宋"/>
          <w:b/>
          <w:sz w:val="44"/>
          <w:szCs w:val="44"/>
        </w:rPr>
      </w:pPr>
      <w:r>
        <w:rPr>
          <w:rFonts w:hint="eastAsia" w:ascii="仿宋" w:hAnsi="仿宋" w:eastAsia="仿宋"/>
          <w:b/>
          <w:sz w:val="44"/>
          <w:szCs w:val="44"/>
        </w:rPr>
        <w:t>相关规定</w:t>
      </w:r>
    </w:p>
    <w:p>
      <w:pPr>
        <w:ind w:firstLine="640" w:firstLineChars="200"/>
        <w:rPr>
          <w:rFonts w:ascii="仿宋" w:hAnsi="仿宋" w:eastAsia="仿宋"/>
          <w:sz w:val="32"/>
        </w:rPr>
      </w:pPr>
      <w:r>
        <w:rPr>
          <w:rFonts w:hint="eastAsia" w:ascii="仿宋" w:hAnsi="仿宋" w:eastAsia="仿宋"/>
          <w:sz w:val="32"/>
          <w:lang w:eastAsia="zh-CN"/>
        </w:rPr>
        <w:t>一</w:t>
      </w:r>
      <w:r>
        <w:rPr>
          <w:rFonts w:hint="eastAsia" w:ascii="仿宋" w:hAnsi="仿宋" w:eastAsia="仿宋"/>
          <w:sz w:val="32"/>
        </w:rPr>
        <w:t>、凡符合《人力资源社会保障部、国家卫生健康委、国家中医药局关于深化卫生专业技术人员职称制度改革的指导意见》（人社部发[2021]51号）条件（见附件3）的人员，均可报名参加相应级别和专业类别的考试。</w:t>
      </w:r>
    </w:p>
    <w:p>
      <w:pPr>
        <w:ind w:firstLine="640" w:firstLineChars="200"/>
        <w:rPr>
          <w:rFonts w:ascii="仿宋" w:hAnsi="仿宋" w:eastAsia="仿宋"/>
          <w:color w:val="FF0000"/>
          <w:sz w:val="32"/>
        </w:rPr>
      </w:pPr>
      <w:r>
        <w:rPr>
          <w:rFonts w:hint="eastAsia" w:ascii="仿宋" w:hAnsi="仿宋" w:eastAsia="仿宋"/>
          <w:sz w:val="32"/>
          <w:lang w:eastAsia="zh-CN"/>
        </w:rPr>
        <w:t>二</w:t>
      </w:r>
      <w:r>
        <w:rPr>
          <w:rFonts w:hint="eastAsia" w:ascii="仿宋" w:hAnsi="仿宋" w:eastAsia="仿宋"/>
          <w:sz w:val="32"/>
        </w:rPr>
        <w:t>、按照《国务院办公厅关于深化医教协同进一步推进医学教育改革与发展的意见》(国办发</w:t>
      </w:r>
      <w:r>
        <w:rPr>
          <w:rFonts w:ascii="仿宋" w:hAnsi="仿宋" w:eastAsia="仿宋"/>
          <w:sz w:val="32"/>
        </w:rPr>
        <w:t>[</w:t>
      </w:r>
      <w:r>
        <w:rPr>
          <w:rFonts w:hint="eastAsia" w:ascii="仿宋" w:hAnsi="仿宋" w:eastAsia="仿宋"/>
          <w:sz w:val="32"/>
        </w:rPr>
        <w:t>2017</w:t>
      </w:r>
      <w:r>
        <w:rPr>
          <w:rFonts w:ascii="仿宋" w:hAnsi="仿宋" w:eastAsia="仿宋"/>
          <w:sz w:val="32"/>
        </w:rPr>
        <w:t>]</w:t>
      </w:r>
      <w:r>
        <w:rPr>
          <w:rFonts w:hint="eastAsia" w:ascii="仿宋" w:hAnsi="仿宋" w:eastAsia="仿宋"/>
          <w:sz w:val="32"/>
        </w:rPr>
        <w:t>63号)有关规定,本科及以上学历毕业生参加住院医师规范化培训合格并到基层医疗卫生机构(新疆、西藏及四省藏区等艰苦边远地区可放宽到县级医疗卫生机构)工作的,可直接参加中级职称考试。</w:t>
      </w:r>
    </w:p>
    <w:p>
      <w:pPr>
        <w:ind w:firstLine="640" w:firstLineChars="200"/>
        <w:rPr>
          <w:rFonts w:ascii="仿宋" w:hAnsi="仿宋" w:eastAsia="仿宋"/>
          <w:bCs/>
          <w:color w:val="auto"/>
          <w:sz w:val="32"/>
          <w:szCs w:val="32"/>
        </w:rPr>
      </w:pPr>
      <w:r>
        <w:rPr>
          <w:rFonts w:hint="eastAsia" w:ascii="仿宋" w:hAnsi="仿宋" w:eastAsia="仿宋"/>
          <w:sz w:val="32"/>
          <w:lang w:eastAsia="zh-CN"/>
        </w:rPr>
        <w:t>三</w:t>
      </w:r>
      <w:r>
        <w:rPr>
          <w:rFonts w:hint="eastAsia" w:ascii="仿宋" w:hAnsi="仿宋" w:eastAsia="仿宋"/>
          <w:sz w:val="32"/>
        </w:rPr>
        <w:t>、</w:t>
      </w:r>
      <w:r>
        <w:rPr>
          <w:rFonts w:hint="eastAsia" w:ascii="仿宋" w:hAnsi="仿宋" w:eastAsia="仿宋"/>
          <w:bCs/>
          <w:sz w:val="32"/>
          <w:szCs w:val="32"/>
        </w:rPr>
        <w:t>根据《中央应对疫情工作领导小组关于全面落实进一步保护关心爱护医务人员若干措施的通知》（国发明电[2020]5号）、《人力资源社会保障部办公厅关于做好新冠肺炎疫情防控一线专业技术人员职称工作的通知》（人社厅发[2020]23号）相关要求，参加新冠肺炎疫情防控的一线医务人员，在符合相应报名条件的基础上，晋升高一级职称可以提前1年申报参加卫生专业技术资格考试；对做出突出贡献，获得省部级以上表彰奖励的，晋升高一级职称可以直接申报参加考试。参加新冠肺炎疫情防控的一线医务人员范围按照《国务院应对新型冠状病毒感染肺炎疫情联防联控机制关于聚焦一线贯彻落实保护关心爱护医务人员措施的通知》</w:t>
      </w:r>
      <w:r>
        <w:rPr>
          <w:rFonts w:hint="eastAsia" w:ascii="仿宋" w:hAnsi="仿宋" w:eastAsia="仿宋"/>
          <w:bCs/>
          <w:color w:val="auto"/>
          <w:sz w:val="32"/>
          <w:szCs w:val="32"/>
        </w:rPr>
        <w:t>（国发明电[2020]10号）规定执行。上述享受提前申报的人员，原则上只享受一次政策优惠。</w:t>
      </w:r>
    </w:p>
    <w:p>
      <w:pPr>
        <w:ind w:firstLine="640" w:firstLineChars="200"/>
        <w:rPr>
          <w:rFonts w:ascii="仿宋" w:hAnsi="仿宋" w:eastAsia="仿宋"/>
          <w:bCs/>
          <w:color w:val="auto"/>
          <w:sz w:val="32"/>
          <w:szCs w:val="32"/>
        </w:rPr>
      </w:pPr>
      <w:r>
        <w:rPr>
          <w:rFonts w:hint="eastAsia" w:ascii="仿宋" w:hAnsi="仿宋" w:eastAsia="仿宋"/>
          <w:bCs/>
          <w:color w:val="auto"/>
          <w:sz w:val="32"/>
          <w:szCs w:val="32"/>
          <w:lang w:eastAsia="zh-CN"/>
        </w:rPr>
        <w:t>四</w:t>
      </w:r>
      <w:r>
        <w:rPr>
          <w:rFonts w:hint="eastAsia" w:ascii="仿宋" w:hAnsi="仿宋" w:eastAsia="仿宋"/>
          <w:bCs/>
          <w:color w:val="auto"/>
          <w:sz w:val="32"/>
          <w:szCs w:val="32"/>
        </w:rPr>
        <w:t>、</w:t>
      </w:r>
      <w:r>
        <w:rPr>
          <w:rFonts w:hint="eastAsia" w:ascii="仿宋" w:hAnsi="仿宋" w:eastAsia="仿宋"/>
          <w:color w:val="auto"/>
          <w:sz w:val="32"/>
        </w:rPr>
        <w:t>凡在乡镇卫生院、社区卫生服务机构工作的医师、护师,可提前一年参加卫生专业中级技术资格全科医学、全科医学(中医类)和社区护理专业类别的考试。</w:t>
      </w:r>
    </w:p>
    <w:p>
      <w:pPr>
        <w:ind w:firstLine="640" w:firstLineChars="200"/>
        <w:rPr>
          <w:rFonts w:ascii="仿宋" w:hAnsi="仿宋" w:eastAsia="仿宋"/>
          <w:color w:val="auto"/>
          <w:sz w:val="32"/>
        </w:rPr>
      </w:pPr>
      <w:r>
        <w:rPr>
          <w:rFonts w:hint="eastAsia" w:ascii="仿宋" w:hAnsi="仿宋" w:eastAsia="仿宋"/>
          <w:color w:val="auto"/>
          <w:sz w:val="32"/>
          <w:lang w:eastAsia="zh-CN"/>
        </w:rPr>
        <w:t>五</w:t>
      </w:r>
      <w:r>
        <w:rPr>
          <w:rFonts w:hint="eastAsia" w:ascii="仿宋" w:hAnsi="仿宋" w:eastAsia="仿宋"/>
          <w:color w:val="auto"/>
          <w:sz w:val="32"/>
        </w:rPr>
        <w:t>、2023年度报考人员,其学历或学位取得日期和从事本专业工作年限均截至202</w:t>
      </w:r>
      <w:r>
        <w:rPr>
          <w:rFonts w:ascii="仿宋" w:hAnsi="仿宋" w:eastAsia="仿宋"/>
          <w:color w:val="auto"/>
          <w:sz w:val="32"/>
        </w:rPr>
        <w:t>2</w:t>
      </w:r>
      <w:r>
        <w:rPr>
          <w:rFonts w:hint="eastAsia" w:ascii="仿宋" w:hAnsi="仿宋" w:eastAsia="仿宋"/>
          <w:color w:val="auto"/>
          <w:sz w:val="32"/>
        </w:rPr>
        <w:t>年12月31日。因工作岗位变动、需报考现岗位专业类别的人员,其从事现岗位专业工作时间须满2年。</w:t>
      </w:r>
    </w:p>
    <w:p>
      <w:pPr>
        <w:ind w:firstLine="640" w:firstLineChars="200"/>
        <w:rPr>
          <w:rFonts w:ascii="仿宋" w:hAnsi="仿宋" w:eastAsia="仿宋"/>
          <w:color w:val="auto"/>
          <w:sz w:val="32"/>
        </w:rPr>
      </w:pPr>
      <w:r>
        <w:rPr>
          <w:rFonts w:hint="eastAsia" w:ascii="仿宋" w:hAnsi="仿宋" w:eastAsia="仿宋"/>
          <w:color w:val="auto"/>
          <w:sz w:val="32"/>
        </w:rPr>
        <w:t>报名条件中有关专业学历或学位的规定,是指国家教育、卫生健康行政部门认可的正规院校毕业学历或学位。在计算任职年限时,从事医疗或护理等执业活动的,从执业注册时间算起；取得护师、药师或技师等职称,从取得相应资格时间算起。</w:t>
      </w:r>
    </w:p>
    <w:p>
      <w:pPr>
        <w:ind w:firstLine="640" w:firstLineChars="200"/>
        <w:rPr>
          <w:rFonts w:ascii="仿宋" w:hAnsi="仿宋" w:eastAsia="仿宋"/>
          <w:color w:val="auto"/>
          <w:sz w:val="32"/>
        </w:rPr>
      </w:pPr>
      <w:r>
        <w:rPr>
          <w:rFonts w:hint="eastAsia" w:ascii="仿宋" w:hAnsi="仿宋" w:eastAsia="仿宋"/>
          <w:color w:val="auto"/>
          <w:sz w:val="32"/>
          <w:lang w:eastAsia="zh-CN"/>
        </w:rPr>
        <w:t>六</w:t>
      </w:r>
      <w:r>
        <w:rPr>
          <w:rFonts w:hint="eastAsia" w:ascii="仿宋" w:hAnsi="仿宋" w:eastAsia="仿宋"/>
          <w:color w:val="auto"/>
          <w:sz w:val="32"/>
        </w:rPr>
        <w:t>、凡报考《卫生专业技术资格考试专业目录》（见附件4）中专业代码为 301 至 365 以及 392 专业的人员，应具有相应专业执业医师资格，并在报名时提交相应专业执业医师资格证书；凡报考专业代码为2</w:t>
      </w:r>
      <w:r>
        <w:rPr>
          <w:rFonts w:ascii="仿宋" w:hAnsi="仿宋" w:eastAsia="仿宋"/>
          <w:color w:val="auto"/>
          <w:sz w:val="32"/>
        </w:rPr>
        <w:t>03</w:t>
      </w:r>
      <w:r>
        <w:rPr>
          <w:rFonts w:hint="eastAsia" w:ascii="仿宋" w:hAnsi="仿宋" w:eastAsia="仿宋"/>
          <w:color w:val="auto"/>
          <w:sz w:val="32"/>
        </w:rPr>
        <w:t>、2</w:t>
      </w:r>
      <w:r>
        <w:rPr>
          <w:rFonts w:ascii="仿宋" w:hAnsi="仿宋" w:eastAsia="仿宋"/>
          <w:color w:val="auto"/>
          <w:sz w:val="32"/>
        </w:rPr>
        <w:t>04</w:t>
      </w:r>
      <w:r>
        <w:rPr>
          <w:rFonts w:hint="eastAsia" w:ascii="仿宋" w:hAnsi="仿宋" w:eastAsia="仿宋"/>
          <w:color w:val="auto"/>
          <w:sz w:val="32"/>
        </w:rPr>
        <w:t>以及3</w:t>
      </w:r>
      <w:r>
        <w:rPr>
          <w:rFonts w:ascii="仿宋" w:hAnsi="仿宋" w:eastAsia="仿宋"/>
          <w:color w:val="auto"/>
          <w:sz w:val="32"/>
        </w:rPr>
        <w:t>68</w:t>
      </w:r>
      <w:r>
        <w:rPr>
          <w:rFonts w:hint="eastAsia" w:ascii="仿宋" w:hAnsi="仿宋" w:eastAsia="仿宋"/>
          <w:color w:val="auto"/>
          <w:sz w:val="32"/>
        </w:rPr>
        <w:t>-</w:t>
      </w:r>
      <w:r>
        <w:rPr>
          <w:rFonts w:ascii="仿宋" w:hAnsi="仿宋" w:eastAsia="仿宋"/>
          <w:color w:val="auto"/>
          <w:sz w:val="32"/>
        </w:rPr>
        <w:t>374</w:t>
      </w:r>
      <w:r>
        <w:rPr>
          <w:rFonts w:hint="eastAsia" w:ascii="仿宋" w:hAnsi="仿宋" w:eastAsia="仿宋"/>
          <w:color w:val="auto"/>
          <w:sz w:val="32"/>
        </w:rPr>
        <w:t>专业的人员，应具有护士执业资格，并在报名时提交护士执业证书。</w:t>
      </w:r>
    </w:p>
    <w:p>
      <w:pPr>
        <w:ind w:firstLine="640" w:firstLineChars="200"/>
        <w:rPr>
          <w:rFonts w:ascii="仿宋" w:hAnsi="仿宋" w:eastAsia="仿宋"/>
          <w:color w:val="auto"/>
          <w:sz w:val="32"/>
        </w:rPr>
      </w:pPr>
      <w:r>
        <w:rPr>
          <w:rFonts w:hint="eastAsia" w:ascii="仿宋" w:hAnsi="仿宋" w:eastAsia="仿宋"/>
          <w:color w:val="auto"/>
          <w:sz w:val="32"/>
          <w:lang w:eastAsia="zh-CN"/>
        </w:rPr>
        <w:t>七</w:t>
      </w:r>
      <w:r>
        <w:rPr>
          <w:rFonts w:hint="eastAsia" w:ascii="仿宋" w:hAnsi="仿宋" w:eastAsia="仿宋"/>
          <w:color w:val="auto"/>
          <w:sz w:val="32"/>
        </w:rPr>
        <w:t>、自2024 年起，将职业病学并入内科学专业、结核病学并入传染病学专业、职业卫生并入公共卫生专业、计划生育按专业内容分别并入妇产科和泌尿外科专业；将中医护理并入护理学专业，同时所有护理学专业考试中，相应增加中医内容。目录中将取消中医护理学（初级师、中级，专业代码分别为 204、374）、结核病学、职业病学、计划生育、职业卫生（中级，专业代码分别为 311、314、360、363）专业类别，相应专业报名人员请提前做好报考计划安排。</w:t>
      </w:r>
    </w:p>
    <w:p>
      <w:pPr>
        <w:ind w:firstLine="640" w:firstLineChars="200"/>
        <w:rPr>
          <w:rFonts w:ascii="仿宋" w:hAnsi="仿宋" w:eastAsia="仿宋"/>
          <w:color w:val="auto"/>
          <w:sz w:val="32"/>
        </w:rPr>
      </w:pPr>
      <w:r>
        <w:rPr>
          <w:rFonts w:hint="eastAsia" w:ascii="仿宋" w:hAnsi="仿宋" w:eastAsia="仿宋"/>
          <w:color w:val="auto"/>
          <w:sz w:val="32"/>
          <w:lang w:eastAsia="zh-CN"/>
        </w:rPr>
        <w:t>八</w:t>
      </w:r>
      <w:r>
        <w:rPr>
          <w:rFonts w:hint="eastAsia" w:ascii="仿宋" w:hAnsi="仿宋" w:eastAsia="仿宋"/>
          <w:color w:val="auto"/>
          <w:sz w:val="32"/>
        </w:rPr>
        <w:t>、药、护、技三类，同类之间的专业可以改报；药、护、技三类之间互改，需取得报考现岗位专业规定学历，从初级开始报考，改报护理类须具备执业护士资格；临床医学类可以改报药、技类，改报护理类须具备执业护士资格；临床医学类由原执业注册专业改报现岗位专业，其从事现岗位专业工作时间，应从执业注册变更后开始计算。</w:t>
      </w:r>
    </w:p>
    <w:p>
      <w:pPr>
        <w:ind w:firstLine="640" w:firstLineChars="200"/>
        <w:rPr>
          <w:rFonts w:ascii="仿宋" w:hAnsi="仿宋" w:eastAsia="仿宋"/>
          <w:color w:val="auto"/>
          <w:sz w:val="32"/>
        </w:rPr>
      </w:pPr>
      <w:r>
        <w:rPr>
          <w:rFonts w:hint="eastAsia" w:ascii="仿宋" w:hAnsi="仿宋" w:eastAsia="仿宋"/>
          <w:color w:val="auto"/>
          <w:sz w:val="32"/>
          <w:lang w:eastAsia="zh-CN"/>
        </w:rPr>
        <w:t>九</w:t>
      </w:r>
      <w:r>
        <w:rPr>
          <w:rFonts w:hint="eastAsia" w:ascii="仿宋" w:hAnsi="仿宋" w:eastAsia="仿宋"/>
          <w:color w:val="auto"/>
          <w:sz w:val="32"/>
        </w:rPr>
        <w:t>、卫生专业技术资格考试相关专业科目成绩实行两年为一个周期的滚动管理办法，在连续两个考试年度内通过同一专业4个科目的考试，可取得该专业资格证书。对不同专业（含主亚专业）之间各科目的考试合格成绩，不得作为同一专业合并计算。已参加卫生专业技术资格部分专业考试的人员，在规定的时限内报名参加剩余科目考试时须确保证件号码一致。</w:t>
      </w:r>
    </w:p>
    <w:p>
      <w:pPr>
        <w:ind w:firstLine="640" w:firstLineChars="200"/>
        <w:rPr>
          <w:rFonts w:ascii="仿宋" w:hAnsi="仿宋" w:eastAsia="仿宋"/>
          <w:color w:val="auto"/>
          <w:sz w:val="32"/>
        </w:rPr>
      </w:pPr>
      <w:r>
        <w:rPr>
          <w:rFonts w:hint="eastAsia" w:ascii="仿宋" w:hAnsi="仿宋" w:eastAsia="仿宋"/>
          <w:color w:val="auto"/>
          <w:sz w:val="32"/>
        </w:rPr>
        <w:t>2</w:t>
      </w:r>
      <w:r>
        <w:rPr>
          <w:rFonts w:ascii="仿宋" w:hAnsi="仿宋" w:eastAsia="仿宋"/>
          <w:color w:val="auto"/>
          <w:sz w:val="32"/>
        </w:rPr>
        <w:t>023</w:t>
      </w:r>
      <w:r>
        <w:rPr>
          <w:rFonts w:hint="eastAsia" w:ascii="仿宋" w:hAnsi="仿宋" w:eastAsia="仿宋"/>
          <w:color w:val="auto"/>
          <w:sz w:val="32"/>
        </w:rPr>
        <w:t>年报考中医护理学（初级师、中级，专业代码分别为2</w:t>
      </w:r>
      <w:r>
        <w:rPr>
          <w:rFonts w:ascii="仿宋" w:hAnsi="仿宋" w:eastAsia="仿宋"/>
          <w:color w:val="auto"/>
          <w:sz w:val="32"/>
        </w:rPr>
        <w:t>04</w:t>
      </w:r>
      <w:r>
        <w:rPr>
          <w:rFonts w:hint="eastAsia" w:ascii="仿宋" w:hAnsi="仿宋" w:eastAsia="仿宋"/>
          <w:color w:val="auto"/>
          <w:sz w:val="32"/>
        </w:rPr>
        <w:t>、3</w:t>
      </w:r>
      <w:r>
        <w:rPr>
          <w:rFonts w:ascii="仿宋" w:hAnsi="仿宋" w:eastAsia="仿宋"/>
          <w:color w:val="auto"/>
          <w:sz w:val="32"/>
        </w:rPr>
        <w:t>74</w:t>
      </w:r>
      <w:r>
        <w:rPr>
          <w:rFonts w:hint="eastAsia" w:ascii="仿宋" w:hAnsi="仿宋" w:eastAsia="仿宋"/>
          <w:color w:val="auto"/>
          <w:sz w:val="32"/>
        </w:rPr>
        <w:t>）、结核病学、职业病学、计划生育、职业卫生（中级专业代码分别为3</w:t>
      </w:r>
      <w:r>
        <w:rPr>
          <w:rFonts w:ascii="仿宋" w:hAnsi="仿宋" w:eastAsia="仿宋"/>
          <w:color w:val="auto"/>
          <w:sz w:val="32"/>
        </w:rPr>
        <w:t>11</w:t>
      </w:r>
      <w:r>
        <w:rPr>
          <w:rFonts w:hint="eastAsia" w:ascii="仿宋" w:hAnsi="仿宋" w:eastAsia="仿宋"/>
          <w:color w:val="auto"/>
          <w:sz w:val="32"/>
        </w:rPr>
        <w:t>、3</w:t>
      </w:r>
      <w:r>
        <w:rPr>
          <w:rFonts w:ascii="仿宋" w:hAnsi="仿宋" w:eastAsia="仿宋"/>
          <w:color w:val="auto"/>
          <w:sz w:val="32"/>
        </w:rPr>
        <w:t>14</w:t>
      </w:r>
      <w:r>
        <w:rPr>
          <w:rFonts w:hint="eastAsia" w:ascii="仿宋" w:hAnsi="仿宋" w:eastAsia="仿宋"/>
          <w:color w:val="auto"/>
          <w:sz w:val="32"/>
        </w:rPr>
        <w:t>、3</w:t>
      </w:r>
      <w:r>
        <w:rPr>
          <w:rFonts w:ascii="仿宋" w:hAnsi="仿宋" w:eastAsia="仿宋"/>
          <w:color w:val="auto"/>
          <w:sz w:val="32"/>
        </w:rPr>
        <w:t>60</w:t>
      </w:r>
      <w:r>
        <w:rPr>
          <w:rFonts w:hint="eastAsia" w:ascii="仿宋" w:hAnsi="仿宋" w:eastAsia="仿宋"/>
          <w:color w:val="auto"/>
          <w:sz w:val="32"/>
        </w:rPr>
        <w:t>、3</w:t>
      </w:r>
      <w:r>
        <w:rPr>
          <w:rFonts w:ascii="仿宋" w:hAnsi="仿宋" w:eastAsia="仿宋"/>
          <w:color w:val="auto"/>
          <w:sz w:val="32"/>
        </w:rPr>
        <w:t>63</w:t>
      </w:r>
      <w:r>
        <w:rPr>
          <w:rFonts w:hint="eastAsia" w:ascii="仿宋" w:hAnsi="仿宋" w:eastAsia="仿宋"/>
          <w:color w:val="auto"/>
          <w:sz w:val="32"/>
        </w:rPr>
        <w:t>）专业类别的人员通过部分科目的，在2</w:t>
      </w:r>
      <w:r>
        <w:rPr>
          <w:rFonts w:ascii="仿宋" w:hAnsi="仿宋" w:eastAsia="仿宋"/>
          <w:color w:val="auto"/>
          <w:sz w:val="32"/>
        </w:rPr>
        <w:t>024</w:t>
      </w:r>
      <w:r>
        <w:rPr>
          <w:rFonts w:hint="eastAsia" w:ascii="仿宋" w:hAnsi="仿宋" w:eastAsia="仿宋"/>
          <w:color w:val="auto"/>
          <w:sz w:val="32"/>
        </w:rPr>
        <w:t>年报考其执业范围内的相关专业时，保留2</w:t>
      </w:r>
      <w:r>
        <w:rPr>
          <w:rFonts w:ascii="仿宋" w:hAnsi="仿宋" w:eastAsia="仿宋"/>
          <w:color w:val="auto"/>
          <w:sz w:val="32"/>
        </w:rPr>
        <w:t>023</w:t>
      </w:r>
      <w:r>
        <w:rPr>
          <w:rFonts w:hint="eastAsia" w:ascii="仿宋" w:hAnsi="仿宋" w:eastAsia="仿宋"/>
          <w:color w:val="auto"/>
          <w:sz w:val="32"/>
        </w:rPr>
        <w:t>年通过科目成绩进行滚动管理，两年内通过四个科目的为考试合格，予以发放2</w:t>
      </w:r>
      <w:r>
        <w:rPr>
          <w:rFonts w:ascii="仿宋" w:hAnsi="仿宋" w:eastAsia="仿宋"/>
          <w:color w:val="auto"/>
          <w:sz w:val="32"/>
        </w:rPr>
        <w:t>024</w:t>
      </w:r>
      <w:r>
        <w:rPr>
          <w:rFonts w:hint="eastAsia" w:ascii="仿宋" w:hAnsi="仿宋" w:eastAsia="仿宋"/>
          <w:color w:val="auto"/>
          <w:sz w:val="32"/>
        </w:rPr>
        <w:t>年报考专业的资格证书。</w:t>
      </w:r>
    </w:p>
    <w:p>
      <w:pPr>
        <w:ind w:firstLine="640" w:firstLineChars="200"/>
        <w:rPr>
          <w:rFonts w:ascii="仿宋" w:hAnsi="仿宋" w:eastAsia="仿宋"/>
          <w:color w:val="auto"/>
          <w:sz w:val="32"/>
        </w:rPr>
      </w:pPr>
      <w:r>
        <w:rPr>
          <w:rFonts w:hint="eastAsia" w:ascii="仿宋" w:hAnsi="仿宋" w:eastAsia="仿宋"/>
          <w:color w:val="auto"/>
          <w:sz w:val="32"/>
        </w:rPr>
        <w:t>十、各单位要按照《港澳台居民居住证申领发放办法》（国办发[2018]81号）和《中共中央组织部 人力资源和社会保障部公安部等25部门关于印发&lt;外国人在中国永久居留享有相关待遇的办法&gt;的通知》（人社部发[2012]53号）要求，做好香港、澳门、台湾居民以及持有中国《外国人永久居留证》的外籍人员参加卫生专业技术资格考试相关工作。</w:t>
      </w:r>
    </w:p>
    <w:p>
      <w:pPr>
        <w:jc w:val="left"/>
        <w:rPr>
          <w:rFonts w:ascii="仿宋" w:hAnsi="仿宋" w:eastAsia="仿宋"/>
          <w:color w:val="auto"/>
          <w:sz w:val="32"/>
        </w:rPr>
      </w:pPr>
      <w:r>
        <w:rPr>
          <w:rFonts w:hint="eastAsia" w:ascii="仿宋" w:hAnsi="仿宋" w:eastAsia="仿宋"/>
          <w:color w:val="auto"/>
          <w:sz w:val="32"/>
        </w:rPr>
        <w:t xml:space="preserve">    十</w:t>
      </w:r>
      <w:r>
        <w:rPr>
          <w:rFonts w:hint="eastAsia" w:ascii="仿宋" w:hAnsi="仿宋" w:eastAsia="仿宋"/>
          <w:color w:val="auto"/>
          <w:sz w:val="32"/>
          <w:lang w:eastAsia="zh-CN"/>
        </w:rPr>
        <w:t>一</w:t>
      </w:r>
      <w:r>
        <w:rPr>
          <w:rFonts w:hint="eastAsia" w:ascii="仿宋" w:hAnsi="仿宋" w:eastAsia="仿宋"/>
          <w:color w:val="auto"/>
          <w:sz w:val="32"/>
        </w:rPr>
        <w:t>、根据人力资源和社会保障部《关于3</w:t>
      </w:r>
      <w:r>
        <w:rPr>
          <w:rFonts w:ascii="仿宋" w:hAnsi="仿宋" w:eastAsia="仿宋"/>
          <w:color w:val="auto"/>
          <w:sz w:val="32"/>
        </w:rPr>
        <w:t>3</w:t>
      </w:r>
      <w:r>
        <w:rPr>
          <w:rFonts w:hint="eastAsia" w:ascii="仿宋" w:hAnsi="仿宋" w:eastAsia="仿宋"/>
          <w:color w:val="auto"/>
          <w:sz w:val="32"/>
        </w:rPr>
        <w:t>项专业技术人员职业资格考试实行相对固定合格标准有关事项的通告》要求，卫生专业技术资格考试各科目合格标准为6</w:t>
      </w:r>
      <w:r>
        <w:rPr>
          <w:rFonts w:ascii="仿宋" w:hAnsi="仿宋" w:eastAsia="仿宋"/>
          <w:color w:val="auto"/>
          <w:sz w:val="32"/>
        </w:rPr>
        <w:t>0</w:t>
      </w:r>
      <w:r>
        <w:rPr>
          <w:rFonts w:hint="eastAsia" w:ascii="仿宋" w:hAnsi="仿宋" w:eastAsia="仿宋"/>
          <w:color w:val="auto"/>
          <w:sz w:val="32"/>
        </w:rPr>
        <w:t>分。</w:t>
      </w:r>
    </w:p>
    <w:p>
      <w:pPr>
        <w:jc w:val="left"/>
        <w:rPr>
          <w:rFonts w:ascii="仿宋" w:hAnsi="仿宋" w:eastAsia="仿宋"/>
          <w:sz w:val="32"/>
        </w:rPr>
      </w:pPr>
    </w:p>
    <w:p>
      <w:pPr>
        <w:jc w:val="left"/>
        <w:rPr>
          <w:rFonts w:ascii="仿宋" w:hAnsi="仿宋" w:eastAsia="仿宋"/>
          <w:sz w:val="32"/>
        </w:rPr>
      </w:pPr>
    </w:p>
    <w:p>
      <w:pPr>
        <w:jc w:val="left"/>
        <w:rPr>
          <w:rFonts w:ascii="仿宋" w:hAnsi="仿宋" w:eastAsia="仿宋"/>
          <w:sz w:val="32"/>
        </w:rPr>
      </w:pPr>
    </w:p>
    <w:p>
      <w:pPr>
        <w:jc w:val="left"/>
        <w:rPr>
          <w:rFonts w:ascii="仿宋" w:hAnsi="仿宋" w:eastAsia="仿宋"/>
          <w:sz w:val="32"/>
        </w:rPr>
      </w:pPr>
    </w:p>
    <w:p>
      <w:pPr>
        <w:jc w:val="left"/>
        <w:rPr>
          <w:rFonts w:ascii="仿宋" w:hAnsi="仿宋" w:eastAsia="仿宋"/>
          <w:sz w:val="32"/>
        </w:rPr>
      </w:pPr>
    </w:p>
    <w:p>
      <w:pPr>
        <w:jc w:val="left"/>
        <w:rPr>
          <w:rFonts w:ascii="仿宋" w:hAnsi="仿宋" w:eastAsia="仿宋"/>
          <w:sz w:val="32"/>
        </w:rPr>
      </w:pPr>
    </w:p>
    <w:p>
      <w:pPr>
        <w:jc w:val="left"/>
        <w:rPr>
          <w:rFonts w:hint="eastAsia" w:ascii="仿宋" w:hAnsi="仿宋" w:eastAsia="仿宋"/>
          <w:sz w:val="32"/>
        </w:rPr>
      </w:pPr>
    </w:p>
    <w:p>
      <w:pPr>
        <w:jc w:val="left"/>
        <w:rPr>
          <w:rFonts w:ascii="仿宋" w:hAnsi="仿宋" w:eastAsia="仿宋"/>
          <w:sz w:val="32"/>
        </w:rPr>
      </w:pPr>
    </w:p>
    <w:p>
      <w:pPr>
        <w:rPr>
          <w:rFonts w:ascii="仿宋" w:hAnsi="仿宋" w:eastAsia="仿宋"/>
          <w:sz w:val="32"/>
        </w:rPr>
      </w:pPr>
      <w:r>
        <w:rPr>
          <w:rFonts w:hint="eastAsia" w:ascii="仿宋" w:hAnsi="仿宋" w:eastAsia="仿宋"/>
          <w:sz w:val="32"/>
        </w:rPr>
        <w:t>附件</w:t>
      </w:r>
      <w:r>
        <w:rPr>
          <w:rFonts w:hint="eastAsia" w:ascii="仿宋" w:hAnsi="仿宋" w:eastAsia="仿宋"/>
          <w:sz w:val="32"/>
          <w:lang w:val="en-US" w:eastAsia="zh-CN"/>
        </w:rPr>
        <w:t>3</w:t>
      </w:r>
      <w:r>
        <w:rPr>
          <w:rFonts w:hint="eastAsia" w:ascii="仿宋" w:hAnsi="仿宋" w:eastAsia="仿宋"/>
          <w:sz w:val="32"/>
        </w:rPr>
        <w:t>：</w:t>
      </w:r>
    </w:p>
    <w:p>
      <w:pPr>
        <w:jc w:val="center"/>
        <w:rPr>
          <w:rFonts w:ascii="宋体" w:hAnsi="宋体"/>
          <w:b/>
          <w:sz w:val="36"/>
          <w:szCs w:val="36"/>
        </w:rPr>
      </w:pPr>
      <w:r>
        <w:rPr>
          <w:rFonts w:hint="eastAsia" w:ascii="宋体" w:hAnsi="宋体"/>
          <w:b/>
          <w:sz w:val="36"/>
          <w:szCs w:val="36"/>
        </w:rPr>
        <w:t>卫生专业技术资格考试专业目录</w:t>
      </w:r>
    </w:p>
    <w:p>
      <w:pPr>
        <w:ind w:firstLine="643" w:firstLineChars="200"/>
        <w:outlineLvl w:val="0"/>
        <w:rPr>
          <w:rFonts w:eastAsia="黑体"/>
          <w:b/>
          <w:bCs/>
          <w:sz w:val="32"/>
          <w:szCs w:val="32"/>
        </w:rPr>
      </w:pPr>
      <w:r>
        <w:rPr>
          <w:rFonts w:hint="eastAsia" w:eastAsia="黑体"/>
          <w:b/>
          <w:bCs/>
          <w:sz w:val="32"/>
          <w:szCs w:val="32"/>
        </w:rPr>
        <w:t>一、初级（士）考试专业</w:t>
      </w:r>
    </w:p>
    <w:tbl>
      <w:tblPr>
        <w:tblStyle w:val="6"/>
        <w:tblW w:w="8844" w:type="dxa"/>
        <w:jc w:val="center"/>
        <w:tblLayout w:type="fixed"/>
        <w:tblCellMar>
          <w:top w:w="0" w:type="dxa"/>
          <w:left w:w="0" w:type="dxa"/>
          <w:bottom w:w="0" w:type="dxa"/>
          <w:right w:w="0" w:type="dxa"/>
        </w:tblCellMar>
      </w:tblPr>
      <w:tblGrid>
        <w:gridCol w:w="2263"/>
        <w:gridCol w:w="6581"/>
      </w:tblGrid>
      <w:tr>
        <w:tblPrEx>
          <w:tblCellMar>
            <w:top w:w="0" w:type="dxa"/>
            <w:left w:w="0" w:type="dxa"/>
            <w:bottom w:w="0" w:type="dxa"/>
            <w:right w:w="0" w:type="dxa"/>
          </w:tblCellMar>
        </w:tblPrEx>
        <w:trPr>
          <w:trHeight w:val="567" w:hRule="exact"/>
          <w:jc w:val="center"/>
        </w:trPr>
        <w:tc>
          <w:tcPr>
            <w:tcW w:w="226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eastAsia="黑体" w:cs="Arial"/>
                <w:b/>
                <w:sz w:val="32"/>
                <w:szCs w:val="32"/>
              </w:rPr>
            </w:pPr>
            <w:r>
              <w:rPr>
                <w:rFonts w:hint="eastAsia" w:eastAsia="黑体" w:cs="Arial"/>
                <w:b/>
                <w:sz w:val="32"/>
                <w:szCs w:val="32"/>
              </w:rPr>
              <w:t>专业代码</w:t>
            </w:r>
          </w:p>
        </w:tc>
        <w:tc>
          <w:tcPr>
            <w:tcW w:w="658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eastAsia="黑体" w:cs="Arial"/>
                <w:b/>
                <w:sz w:val="32"/>
                <w:szCs w:val="32"/>
              </w:rPr>
            </w:pPr>
            <w:r>
              <w:rPr>
                <w:rFonts w:hint="eastAsia" w:eastAsia="黑体" w:cs="Arial"/>
                <w:b/>
                <w:sz w:val="32"/>
                <w:szCs w:val="32"/>
              </w:rPr>
              <w:t>专 业 名 称</w:t>
            </w:r>
          </w:p>
        </w:tc>
      </w:tr>
      <w:tr>
        <w:tblPrEx>
          <w:tblCellMar>
            <w:top w:w="0" w:type="dxa"/>
            <w:left w:w="0" w:type="dxa"/>
            <w:bottom w:w="0" w:type="dxa"/>
            <w:right w:w="0" w:type="dxa"/>
          </w:tblCellMar>
        </w:tblPrEx>
        <w:trPr>
          <w:trHeight w:val="567" w:hRule="exact"/>
          <w:jc w:val="center"/>
        </w:trPr>
        <w:tc>
          <w:tcPr>
            <w:tcW w:w="2263"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101</w:t>
            </w:r>
          </w:p>
        </w:tc>
        <w:tc>
          <w:tcPr>
            <w:tcW w:w="6581"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药学</w:t>
            </w:r>
          </w:p>
        </w:tc>
      </w:tr>
      <w:tr>
        <w:tblPrEx>
          <w:tblCellMar>
            <w:top w:w="0" w:type="dxa"/>
            <w:left w:w="0" w:type="dxa"/>
            <w:bottom w:w="0" w:type="dxa"/>
            <w:right w:w="0" w:type="dxa"/>
          </w:tblCellMar>
        </w:tblPrEx>
        <w:trPr>
          <w:trHeight w:val="567" w:hRule="exact"/>
          <w:jc w:val="center"/>
        </w:trPr>
        <w:tc>
          <w:tcPr>
            <w:tcW w:w="2263"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102</w:t>
            </w:r>
          </w:p>
        </w:tc>
        <w:tc>
          <w:tcPr>
            <w:tcW w:w="6581"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中药学</w:t>
            </w:r>
          </w:p>
        </w:tc>
      </w:tr>
      <w:tr>
        <w:tblPrEx>
          <w:tblCellMar>
            <w:top w:w="0" w:type="dxa"/>
            <w:left w:w="0" w:type="dxa"/>
            <w:bottom w:w="0" w:type="dxa"/>
            <w:right w:w="0" w:type="dxa"/>
          </w:tblCellMar>
        </w:tblPrEx>
        <w:trPr>
          <w:trHeight w:val="649" w:hRule="exact"/>
          <w:jc w:val="center"/>
        </w:trPr>
        <w:tc>
          <w:tcPr>
            <w:tcW w:w="2263"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103</w:t>
            </w:r>
          </w:p>
        </w:tc>
        <w:tc>
          <w:tcPr>
            <w:tcW w:w="6581"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口腔医学技术</w:t>
            </w:r>
          </w:p>
        </w:tc>
      </w:tr>
      <w:tr>
        <w:tblPrEx>
          <w:tblCellMar>
            <w:top w:w="0" w:type="dxa"/>
            <w:left w:w="0" w:type="dxa"/>
            <w:bottom w:w="0" w:type="dxa"/>
            <w:right w:w="0" w:type="dxa"/>
          </w:tblCellMar>
        </w:tblPrEx>
        <w:trPr>
          <w:trHeight w:val="567" w:hRule="exact"/>
          <w:jc w:val="center"/>
        </w:trPr>
        <w:tc>
          <w:tcPr>
            <w:tcW w:w="2263"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104</w:t>
            </w:r>
          </w:p>
        </w:tc>
        <w:tc>
          <w:tcPr>
            <w:tcW w:w="6581"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放射医学技术</w:t>
            </w:r>
          </w:p>
        </w:tc>
      </w:tr>
      <w:tr>
        <w:tblPrEx>
          <w:tblCellMar>
            <w:top w:w="0" w:type="dxa"/>
            <w:left w:w="0" w:type="dxa"/>
            <w:bottom w:w="0" w:type="dxa"/>
            <w:right w:w="0" w:type="dxa"/>
          </w:tblCellMar>
        </w:tblPrEx>
        <w:trPr>
          <w:trHeight w:val="567" w:hRule="exact"/>
          <w:jc w:val="center"/>
        </w:trPr>
        <w:tc>
          <w:tcPr>
            <w:tcW w:w="2263"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105</w:t>
            </w:r>
          </w:p>
        </w:tc>
        <w:tc>
          <w:tcPr>
            <w:tcW w:w="6581"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临床医学检验技术</w:t>
            </w:r>
          </w:p>
        </w:tc>
      </w:tr>
      <w:tr>
        <w:tblPrEx>
          <w:tblCellMar>
            <w:top w:w="0" w:type="dxa"/>
            <w:left w:w="0" w:type="dxa"/>
            <w:bottom w:w="0" w:type="dxa"/>
            <w:right w:w="0" w:type="dxa"/>
          </w:tblCellMar>
        </w:tblPrEx>
        <w:trPr>
          <w:trHeight w:val="567" w:hRule="exact"/>
          <w:jc w:val="center"/>
        </w:trPr>
        <w:tc>
          <w:tcPr>
            <w:tcW w:w="2263"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106</w:t>
            </w:r>
          </w:p>
        </w:tc>
        <w:tc>
          <w:tcPr>
            <w:tcW w:w="6581"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病理学技术</w:t>
            </w:r>
          </w:p>
        </w:tc>
      </w:tr>
      <w:tr>
        <w:tblPrEx>
          <w:tblCellMar>
            <w:top w:w="0" w:type="dxa"/>
            <w:left w:w="0" w:type="dxa"/>
            <w:bottom w:w="0" w:type="dxa"/>
            <w:right w:w="0" w:type="dxa"/>
          </w:tblCellMar>
        </w:tblPrEx>
        <w:trPr>
          <w:trHeight w:val="567" w:hRule="exact"/>
          <w:jc w:val="center"/>
        </w:trPr>
        <w:tc>
          <w:tcPr>
            <w:tcW w:w="2263"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107</w:t>
            </w:r>
          </w:p>
        </w:tc>
        <w:tc>
          <w:tcPr>
            <w:tcW w:w="6581"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康复医学治疗技术</w:t>
            </w:r>
          </w:p>
        </w:tc>
      </w:tr>
      <w:tr>
        <w:tblPrEx>
          <w:tblCellMar>
            <w:top w:w="0" w:type="dxa"/>
            <w:left w:w="0" w:type="dxa"/>
            <w:bottom w:w="0" w:type="dxa"/>
            <w:right w:w="0" w:type="dxa"/>
          </w:tblCellMar>
        </w:tblPrEx>
        <w:trPr>
          <w:trHeight w:val="567" w:hRule="exact"/>
          <w:jc w:val="center"/>
        </w:trPr>
        <w:tc>
          <w:tcPr>
            <w:tcW w:w="2263"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108</w:t>
            </w:r>
          </w:p>
        </w:tc>
        <w:tc>
          <w:tcPr>
            <w:tcW w:w="6581"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营养</w:t>
            </w:r>
          </w:p>
        </w:tc>
      </w:tr>
      <w:tr>
        <w:tblPrEx>
          <w:tblCellMar>
            <w:top w:w="0" w:type="dxa"/>
            <w:left w:w="0" w:type="dxa"/>
            <w:bottom w:w="0" w:type="dxa"/>
            <w:right w:w="0" w:type="dxa"/>
          </w:tblCellMar>
        </w:tblPrEx>
        <w:trPr>
          <w:trHeight w:val="567" w:hRule="exact"/>
          <w:jc w:val="center"/>
        </w:trPr>
        <w:tc>
          <w:tcPr>
            <w:tcW w:w="2263"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109</w:t>
            </w:r>
          </w:p>
        </w:tc>
        <w:tc>
          <w:tcPr>
            <w:tcW w:w="6581"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卫生检验技术</w:t>
            </w:r>
          </w:p>
        </w:tc>
      </w:tr>
      <w:tr>
        <w:tblPrEx>
          <w:tblCellMar>
            <w:top w:w="0" w:type="dxa"/>
            <w:left w:w="0" w:type="dxa"/>
            <w:bottom w:w="0" w:type="dxa"/>
            <w:right w:w="0" w:type="dxa"/>
          </w:tblCellMar>
        </w:tblPrEx>
        <w:trPr>
          <w:trHeight w:val="567" w:hRule="exact"/>
          <w:jc w:val="center"/>
        </w:trPr>
        <w:tc>
          <w:tcPr>
            <w:tcW w:w="226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11</w:t>
            </w:r>
            <w:r>
              <w:rPr>
                <w:rFonts w:hint="eastAsia"/>
                <w:b/>
                <w:bCs/>
                <w:sz w:val="32"/>
                <w:szCs w:val="32"/>
              </w:rPr>
              <w:t>0</w:t>
            </w:r>
          </w:p>
        </w:tc>
        <w:tc>
          <w:tcPr>
            <w:tcW w:w="658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病案信息技术</w:t>
            </w:r>
          </w:p>
        </w:tc>
      </w:tr>
    </w:tbl>
    <w:p>
      <w:pPr>
        <w:rPr>
          <w:rFonts w:eastAsia="黑体"/>
          <w:b/>
          <w:bCs/>
          <w:sz w:val="32"/>
          <w:szCs w:val="32"/>
        </w:rPr>
      </w:pPr>
    </w:p>
    <w:p>
      <w:pPr>
        <w:ind w:firstLine="643" w:firstLineChars="200"/>
        <w:outlineLvl w:val="0"/>
        <w:rPr>
          <w:rFonts w:eastAsia="黑体"/>
          <w:b/>
          <w:bCs/>
          <w:sz w:val="32"/>
          <w:szCs w:val="32"/>
        </w:rPr>
      </w:pPr>
      <w:r>
        <w:rPr>
          <w:rFonts w:hint="eastAsia" w:eastAsia="黑体"/>
          <w:b/>
          <w:bCs/>
          <w:sz w:val="32"/>
          <w:szCs w:val="32"/>
        </w:rPr>
        <w:t>二、初级（师）考试专业</w:t>
      </w:r>
    </w:p>
    <w:tbl>
      <w:tblPr>
        <w:tblStyle w:val="6"/>
        <w:tblW w:w="87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263"/>
        <w:gridCol w:w="6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blHeader/>
          <w:jc w:val="center"/>
        </w:trPr>
        <w:tc>
          <w:tcPr>
            <w:tcW w:w="2263" w:type="dxa"/>
            <w:tcMar>
              <w:top w:w="15" w:type="dxa"/>
              <w:left w:w="15" w:type="dxa"/>
              <w:bottom w:w="0" w:type="dxa"/>
              <w:right w:w="15" w:type="dxa"/>
            </w:tcMar>
            <w:vAlign w:val="center"/>
          </w:tcPr>
          <w:p>
            <w:pPr>
              <w:jc w:val="center"/>
              <w:rPr>
                <w:rFonts w:eastAsia="黑体" w:cs="Arial"/>
                <w:b/>
                <w:sz w:val="32"/>
                <w:szCs w:val="32"/>
              </w:rPr>
            </w:pPr>
            <w:r>
              <w:rPr>
                <w:rFonts w:hint="eastAsia" w:eastAsia="黑体" w:cs="Arial"/>
                <w:b/>
                <w:sz w:val="32"/>
                <w:szCs w:val="32"/>
              </w:rPr>
              <w:t>专业代码</w:t>
            </w:r>
          </w:p>
        </w:tc>
        <w:tc>
          <w:tcPr>
            <w:tcW w:w="6482" w:type="dxa"/>
            <w:tcMar>
              <w:top w:w="15" w:type="dxa"/>
              <w:left w:w="15" w:type="dxa"/>
              <w:bottom w:w="0" w:type="dxa"/>
              <w:right w:w="15" w:type="dxa"/>
            </w:tcMar>
            <w:vAlign w:val="center"/>
          </w:tcPr>
          <w:p>
            <w:pPr>
              <w:jc w:val="center"/>
              <w:rPr>
                <w:rFonts w:eastAsia="黑体" w:cs="Arial"/>
                <w:b/>
                <w:sz w:val="32"/>
                <w:szCs w:val="32"/>
              </w:rPr>
            </w:pPr>
            <w:r>
              <w:rPr>
                <w:rFonts w:hint="eastAsia" w:eastAsia="黑体" w:cs="Arial"/>
                <w:b/>
                <w:sz w:val="32"/>
                <w:szCs w:val="32"/>
              </w:rPr>
              <w:t>专 业 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263" w:type="dxa"/>
            <w:tcBorders>
              <w:bottom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201</w:t>
            </w:r>
          </w:p>
        </w:tc>
        <w:tc>
          <w:tcPr>
            <w:tcW w:w="6482" w:type="dxa"/>
            <w:tcBorders>
              <w:bottom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26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202</w:t>
            </w:r>
          </w:p>
        </w:tc>
        <w:tc>
          <w:tcPr>
            <w:tcW w:w="648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中药学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263" w:type="dxa"/>
            <w:tcBorders>
              <w:top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203</w:t>
            </w:r>
          </w:p>
        </w:tc>
        <w:tc>
          <w:tcPr>
            <w:tcW w:w="6482" w:type="dxa"/>
            <w:tcBorders>
              <w:top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护理学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263" w:type="dxa"/>
            <w:tcMar>
              <w:top w:w="15" w:type="dxa"/>
              <w:left w:w="15" w:type="dxa"/>
              <w:bottom w:w="0" w:type="dxa"/>
              <w:right w:w="15" w:type="dxa"/>
            </w:tcMar>
            <w:vAlign w:val="center"/>
          </w:tcPr>
          <w:p>
            <w:pPr>
              <w:jc w:val="center"/>
              <w:rPr>
                <w:b/>
                <w:bCs/>
                <w:sz w:val="32"/>
                <w:szCs w:val="32"/>
              </w:rPr>
            </w:pPr>
            <w:r>
              <w:rPr>
                <w:b/>
                <w:bCs/>
                <w:sz w:val="32"/>
                <w:szCs w:val="32"/>
              </w:rPr>
              <w:t>204</w:t>
            </w:r>
          </w:p>
        </w:tc>
        <w:tc>
          <w:tcPr>
            <w:tcW w:w="6482" w:type="dxa"/>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中医护理学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263" w:type="dxa"/>
            <w:tcMar>
              <w:top w:w="15" w:type="dxa"/>
              <w:left w:w="15" w:type="dxa"/>
              <w:bottom w:w="0" w:type="dxa"/>
              <w:right w:w="15" w:type="dxa"/>
            </w:tcMar>
            <w:vAlign w:val="center"/>
          </w:tcPr>
          <w:p>
            <w:pPr>
              <w:jc w:val="center"/>
              <w:rPr>
                <w:b/>
                <w:bCs/>
                <w:sz w:val="32"/>
                <w:szCs w:val="32"/>
              </w:rPr>
            </w:pPr>
            <w:r>
              <w:rPr>
                <w:b/>
                <w:bCs/>
                <w:sz w:val="32"/>
                <w:szCs w:val="32"/>
              </w:rPr>
              <w:t>205</w:t>
            </w:r>
          </w:p>
        </w:tc>
        <w:tc>
          <w:tcPr>
            <w:tcW w:w="6482" w:type="dxa"/>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口腔医学技术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263" w:type="dxa"/>
            <w:tcMar>
              <w:top w:w="15" w:type="dxa"/>
              <w:left w:w="15" w:type="dxa"/>
              <w:bottom w:w="0" w:type="dxa"/>
              <w:right w:w="15" w:type="dxa"/>
            </w:tcMar>
            <w:vAlign w:val="center"/>
          </w:tcPr>
          <w:p>
            <w:pPr>
              <w:jc w:val="center"/>
              <w:rPr>
                <w:b/>
                <w:bCs/>
                <w:sz w:val="32"/>
                <w:szCs w:val="32"/>
              </w:rPr>
            </w:pPr>
            <w:r>
              <w:rPr>
                <w:b/>
                <w:bCs/>
                <w:sz w:val="32"/>
                <w:szCs w:val="32"/>
              </w:rPr>
              <w:t>206</w:t>
            </w:r>
          </w:p>
        </w:tc>
        <w:tc>
          <w:tcPr>
            <w:tcW w:w="6482" w:type="dxa"/>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放射医学技术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263" w:type="dxa"/>
            <w:tcMar>
              <w:top w:w="15" w:type="dxa"/>
              <w:left w:w="15" w:type="dxa"/>
              <w:bottom w:w="0" w:type="dxa"/>
              <w:right w:w="15" w:type="dxa"/>
            </w:tcMar>
            <w:vAlign w:val="center"/>
          </w:tcPr>
          <w:p>
            <w:pPr>
              <w:jc w:val="center"/>
              <w:rPr>
                <w:b/>
                <w:bCs/>
                <w:sz w:val="32"/>
                <w:szCs w:val="32"/>
              </w:rPr>
            </w:pPr>
            <w:r>
              <w:rPr>
                <w:b/>
                <w:bCs/>
                <w:sz w:val="32"/>
                <w:szCs w:val="32"/>
              </w:rPr>
              <w:t>207</w:t>
            </w:r>
          </w:p>
        </w:tc>
        <w:tc>
          <w:tcPr>
            <w:tcW w:w="6482" w:type="dxa"/>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临床医学检验技术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263" w:type="dxa"/>
            <w:tcMar>
              <w:top w:w="15" w:type="dxa"/>
              <w:left w:w="15" w:type="dxa"/>
              <w:bottom w:w="0" w:type="dxa"/>
              <w:right w:w="15" w:type="dxa"/>
            </w:tcMar>
            <w:vAlign w:val="center"/>
          </w:tcPr>
          <w:p>
            <w:pPr>
              <w:jc w:val="center"/>
              <w:rPr>
                <w:b/>
                <w:bCs/>
                <w:sz w:val="32"/>
                <w:szCs w:val="32"/>
              </w:rPr>
            </w:pPr>
            <w:r>
              <w:rPr>
                <w:b/>
                <w:bCs/>
                <w:sz w:val="32"/>
                <w:szCs w:val="32"/>
              </w:rPr>
              <w:t>208</w:t>
            </w:r>
          </w:p>
        </w:tc>
        <w:tc>
          <w:tcPr>
            <w:tcW w:w="6482" w:type="dxa"/>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病理学技术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263" w:type="dxa"/>
            <w:tcMar>
              <w:top w:w="15" w:type="dxa"/>
              <w:left w:w="15" w:type="dxa"/>
              <w:bottom w:w="0" w:type="dxa"/>
              <w:right w:w="15" w:type="dxa"/>
            </w:tcMar>
            <w:vAlign w:val="center"/>
          </w:tcPr>
          <w:p>
            <w:pPr>
              <w:jc w:val="center"/>
              <w:rPr>
                <w:b/>
                <w:bCs/>
                <w:sz w:val="32"/>
                <w:szCs w:val="32"/>
              </w:rPr>
            </w:pPr>
            <w:r>
              <w:rPr>
                <w:b/>
                <w:bCs/>
                <w:sz w:val="32"/>
                <w:szCs w:val="32"/>
              </w:rPr>
              <w:t>209</w:t>
            </w:r>
          </w:p>
        </w:tc>
        <w:tc>
          <w:tcPr>
            <w:tcW w:w="6482" w:type="dxa"/>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康复医学治疗技术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263" w:type="dxa"/>
            <w:tcMar>
              <w:top w:w="15" w:type="dxa"/>
              <w:left w:w="15" w:type="dxa"/>
              <w:bottom w:w="0" w:type="dxa"/>
              <w:right w:w="15" w:type="dxa"/>
            </w:tcMar>
            <w:vAlign w:val="center"/>
          </w:tcPr>
          <w:p>
            <w:pPr>
              <w:jc w:val="center"/>
              <w:rPr>
                <w:b/>
                <w:bCs/>
                <w:sz w:val="32"/>
                <w:szCs w:val="32"/>
              </w:rPr>
            </w:pPr>
            <w:r>
              <w:rPr>
                <w:b/>
                <w:bCs/>
                <w:sz w:val="32"/>
                <w:szCs w:val="32"/>
              </w:rPr>
              <w:t>210</w:t>
            </w:r>
          </w:p>
        </w:tc>
        <w:tc>
          <w:tcPr>
            <w:tcW w:w="6482" w:type="dxa"/>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营养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263" w:type="dxa"/>
            <w:tcMar>
              <w:top w:w="15" w:type="dxa"/>
              <w:left w:w="15" w:type="dxa"/>
              <w:bottom w:w="0" w:type="dxa"/>
              <w:right w:w="15" w:type="dxa"/>
            </w:tcMar>
            <w:vAlign w:val="center"/>
          </w:tcPr>
          <w:p>
            <w:pPr>
              <w:jc w:val="center"/>
              <w:rPr>
                <w:b/>
                <w:bCs/>
                <w:sz w:val="32"/>
                <w:szCs w:val="32"/>
              </w:rPr>
            </w:pPr>
            <w:r>
              <w:rPr>
                <w:b/>
                <w:bCs/>
                <w:sz w:val="32"/>
                <w:szCs w:val="32"/>
              </w:rPr>
              <w:t>211</w:t>
            </w:r>
          </w:p>
        </w:tc>
        <w:tc>
          <w:tcPr>
            <w:tcW w:w="6482" w:type="dxa"/>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卫生检验技术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263" w:type="dxa"/>
            <w:tcMar>
              <w:top w:w="15" w:type="dxa"/>
              <w:left w:w="15" w:type="dxa"/>
              <w:bottom w:w="0" w:type="dxa"/>
              <w:right w:w="15" w:type="dxa"/>
            </w:tcMar>
            <w:vAlign w:val="center"/>
          </w:tcPr>
          <w:p>
            <w:pPr>
              <w:jc w:val="center"/>
              <w:rPr>
                <w:b/>
                <w:bCs/>
                <w:sz w:val="32"/>
                <w:szCs w:val="32"/>
              </w:rPr>
            </w:pPr>
            <w:r>
              <w:rPr>
                <w:b/>
                <w:bCs/>
                <w:sz w:val="32"/>
                <w:szCs w:val="32"/>
              </w:rPr>
              <w:t>212</w:t>
            </w:r>
          </w:p>
        </w:tc>
        <w:tc>
          <w:tcPr>
            <w:tcW w:w="6482" w:type="dxa"/>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ascii="仿宋" w:hAnsi="仿宋" w:eastAsia="仿宋" w:cs="宋体"/>
                <w:sz w:val="32"/>
                <w:szCs w:val="32"/>
              </w:rPr>
              <w:t>心理治疗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263" w:type="dxa"/>
            <w:tcMar>
              <w:top w:w="15" w:type="dxa"/>
              <w:left w:w="15" w:type="dxa"/>
              <w:bottom w:w="0" w:type="dxa"/>
              <w:right w:w="15" w:type="dxa"/>
            </w:tcMar>
            <w:vAlign w:val="center"/>
          </w:tcPr>
          <w:p>
            <w:pPr>
              <w:jc w:val="center"/>
              <w:rPr>
                <w:b/>
                <w:bCs/>
                <w:sz w:val="32"/>
                <w:szCs w:val="32"/>
              </w:rPr>
            </w:pPr>
            <w:r>
              <w:rPr>
                <w:b/>
                <w:bCs/>
                <w:sz w:val="32"/>
                <w:szCs w:val="32"/>
              </w:rPr>
              <w:t>213</w:t>
            </w:r>
          </w:p>
        </w:tc>
        <w:tc>
          <w:tcPr>
            <w:tcW w:w="6482" w:type="dxa"/>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病案信息技术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263" w:type="dxa"/>
            <w:tcMar>
              <w:top w:w="15" w:type="dxa"/>
              <w:left w:w="15" w:type="dxa"/>
              <w:bottom w:w="0" w:type="dxa"/>
              <w:right w:w="15" w:type="dxa"/>
            </w:tcMar>
            <w:vAlign w:val="center"/>
          </w:tcPr>
          <w:p>
            <w:pPr>
              <w:jc w:val="center"/>
              <w:rPr>
                <w:b/>
                <w:bCs/>
                <w:sz w:val="32"/>
                <w:szCs w:val="32"/>
              </w:rPr>
            </w:pPr>
            <w:r>
              <w:rPr>
                <w:b/>
                <w:bCs/>
                <w:sz w:val="32"/>
                <w:szCs w:val="32"/>
              </w:rPr>
              <w:t>214</w:t>
            </w:r>
          </w:p>
        </w:tc>
        <w:tc>
          <w:tcPr>
            <w:tcW w:w="6482" w:type="dxa"/>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输血技术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263" w:type="dxa"/>
            <w:tcMar>
              <w:top w:w="15" w:type="dxa"/>
              <w:left w:w="15" w:type="dxa"/>
              <w:bottom w:w="0" w:type="dxa"/>
              <w:right w:w="15" w:type="dxa"/>
            </w:tcMar>
            <w:vAlign w:val="center"/>
          </w:tcPr>
          <w:p>
            <w:pPr>
              <w:jc w:val="center"/>
              <w:rPr>
                <w:b/>
                <w:bCs/>
                <w:sz w:val="32"/>
                <w:szCs w:val="32"/>
              </w:rPr>
            </w:pPr>
            <w:r>
              <w:rPr>
                <w:rFonts w:hint="eastAsia"/>
                <w:b/>
                <w:bCs/>
                <w:sz w:val="32"/>
                <w:szCs w:val="32"/>
              </w:rPr>
              <w:t>215</w:t>
            </w:r>
          </w:p>
        </w:tc>
        <w:tc>
          <w:tcPr>
            <w:tcW w:w="6482" w:type="dxa"/>
            <w:tcMar>
              <w:top w:w="15" w:type="dxa"/>
              <w:left w:w="15" w:type="dxa"/>
              <w:bottom w:w="0" w:type="dxa"/>
              <w:right w:w="15" w:type="dxa"/>
            </w:tcMar>
            <w:vAlign w:val="center"/>
          </w:tcPr>
          <w:p>
            <w:pPr>
              <w:ind w:firstLine="320" w:firstLineChars="100"/>
              <w:jc w:val="left"/>
              <w:rPr>
                <w:rFonts w:ascii="仿宋" w:hAnsi="仿宋" w:eastAsia="仿宋"/>
                <w:sz w:val="32"/>
                <w:szCs w:val="32"/>
              </w:rPr>
            </w:pPr>
            <w:r>
              <w:rPr>
                <w:rFonts w:hint="eastAsia" w:ascii="仿宋" w:hAnsi="仿宋" w:eastAsia="仿宋"/>
                <w:sz w:val="32"/>
                <w:szCs w:val="32"/>
              </w:rPr>
              <w:t>神经电生理（脑电图）技术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exact"/>
          <w:jc w:val="center"/>
        </w:trPr>
        <w:tc>
          <w:tcPr>
            <w:tcW w:w="2263" w:type="dxa"/>
            <w:tcMar>
              <w:top w:w="15" w:type="dxa"/>
              <w:left w:w="15" w:type="dxa"/>
              <w:bottom w:w="0" w:type="dxa"/>
              <w:right w:w="15" w:type="dxa"/>
            </w:tcMar>
            <w:vAlign w:val="center"/>
          </w:tcPr>
          <w:p>
            <w:pPr>
              <w:jc w:val="center"/>
              <w:rPr>
                <w:b/>
                <w:bCs/>
                <w:sz w:val="32"/>
                <w:szCs w:val="32"/>
              </w:rPr>
            </w:pPr>
            <w:r>
              <w:rPr>
                <w:rFonts w:hint="eastAsia"/>
                <w:b/>
                <w:bCs/>
                <w:sz w:val="32"/>
                <w:szCs w:val="32"/>
              </w:rPr>
              <w:t>216</w:t>
            </w:r>
          </w:p>
        </w:tc>
        <w:tc>
          <w:tcPr>
            <w:tcW w:w="6482" w:type="dxa"/>
            <w:tcMar>
              <w:top w:w="15" w:type="dxa"/>
              <w:left w:w="15" w:type="dxa"/>
              <w:bottom w:w="0" w:type="dxa"/>
              <w:right w:w="15" w:type="dxa"/>
            </w:tcMar>
            <w:vAlign w:val="center"/>
          </w:tcPr>
          <w:p>
            <w:pPr>
              <w:ind w:firstLine="320" w:firstLineChars="100"/>
              <w:jc w:val="left"/>
              <w:rPr>
                <w:rFonts w:ascii="仿宋" w:hAnsi="仿宋" w:eastAsia="仿宋"/>
                <w:sz w:val="32"/>
                <w:szCs w:val="32"/>
              </w:rPr>
            </w:pPr>
            <w:r>
              <w:rPr>
                <w:rFonts w:hint="eastAsia" w:ascii="仿宋" w:hAnsi="仿宋" w:eastAsia="仿宋"/>
                <w:sz w:val="32"/>
                <w:szCs w:val="32"/>
              </w:rPr>
              <w:t>眼视光技术</w:t>
            </w:r>
          </w:p>
        </w:tc>
      </w:tr>
    </w:tbl>
    <w:p>
      <w:pPr>
        <w:rPr>
          <w:rFonts w:eastAsia="黑体"/>
          <w:b/>
          <w:bCs/>
          <w:sz w:val="32"/>
          <w:szCs w:val="32"/>
        </w:rPr>
      </w:pPr>
    </w:p>
    <w:p>
      <w:pPr>
        <w:ind w:firstLine="643" w:firstLineChars="200"/>
        <w:outlineLvl w:val="0"/>
        <w:rPr>
          <w:rFonts w:eastAsia="黑体"/>
          <w:b/>
          <w:bCs/>
          <w:sz w:val="32"/>
          <w:szCs w:val="32"/>
        </w:rPr>
      </w:pPr>
      <w:r>
        <w:rPr>
          <w:rFonts w:hint="eastAsia" w:eastAsia="黑体"/>
          <w:b/>
          <w:bCs/>
          <w:sz w:val="32"/>
          <w:szCs w:val="32"/>
        </w:rPr>
        <w:t>三、中级考试专业</w:t>
      </w:r>
    </w:p>
    <w:tbl>
      <w:tblPr>
        <w:tblStyle w:val="6"/>
        <w:tblW w:w="8694" w:type="dxa"/>
        <w:jc w:val="center"/>
        <w:tblLayout w:type="fixed"/>
        <w:tblCellMar>
          <w:top w:w="0" w:type="dxa"/>
          <w:left w:w="0" w:type="dxa"/>
          <w:bottom w:w="0" w:type="dxa"/>
          <w:right w:w="0" w:type="dxa"/>
        </w:tblCellMar>
      </w:tblPr>
      <w:tblGrid>
        <w:gridCol w:w="2278"/>
        <w:gridCol w:w="6416"/>
      </w:tblGrid>
      <w:tr>
        <w:tblPrEx>
          <w:tblCellMar>
            <w:top w:w="0" w:type="dxa"/>
            <w:left w:w="0" w:type="dxa"/>
            <w:bottom w:w="0" w:type="dxa"/>
            <w:right w:w="0" w:type="dxa"/>
          </w:tblCellMar>
        </w:tblPrEx>
        <w:trPr>
          <w:trHeight w:val="567" w:hRule="exact"/>
          <w:tblHeader/>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eastAsia="黑体" w:cs="Arial"/>
                <w:b/>
                <w:sz w:val="32"/>
                <w:szCs w:val="32"/>
              </w:rPr>
            </w:pPr>
            <w:r>
              <w:rPr>
                <w:rFonts w:hint="eastAsia" w:eastAsia="黑体" w:cs="Arial"/>
                <w:b/>
                <w:sz w:val="32"/>
                <w:szCs w:val="32"/>
              </w:rPr>
              <w:t>专业代码</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eastAsia="黑体" w:cs="Arial"/>
                <w:b/>
                <w:sz w:val="32"/>
                <w:szCs w:val="32"/>
              </w:rPr>
            </w:pPr>
            <w:r>
              <w:rPr>
                <w:rFonts w:hint="eastAsia" w:eastAsia="黑体" w:cs="Arial"/>
                <w:b/>
                <w:sz w:val="32"/>
                <w:szCs w:val="32"/>
              </w:rPr>
              <w:t>专 业 名 称</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301</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全科医学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302</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全科医学（中医类）</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303</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内科学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304</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心血管内科学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305</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呼吸内科学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306</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消化内科学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307</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肾内科学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308</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神经内科学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309</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内分泌学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310</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血液病学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311</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结核病学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312</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传染病学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313</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风湿与临床免疫学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314</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职业病学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315</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中医内科学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316</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中西医结合内科学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317</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普通外科学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318</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骨外科学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319</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胸心外科学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320</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神经外科学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321</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泌尿外科学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322</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小儿外科学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323</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烧伤外科学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324</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整形外科学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325</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中医外科学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326</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中西医结合外科学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327</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中医肛肠科学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328</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中医骨伤学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329</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中西医结合骨伤科学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330</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妇产科学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331</w:t>
            </w:r>
          </w:p>
        </w:tc>
        <w:tc>
          <w:tcPr>
            <w:tcW w:w="641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中医妇科学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332</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儿科学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333</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中医儿科学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334</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眼科学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335</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中医眼科学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336</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耳鼻咽喉科学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337</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中医耳鼻喉科学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338</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皮肤与性病学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339</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中医皮肤与性病学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340</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精神病学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341</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肿瘤内科学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342</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肿瘤外科学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343</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肿瘤放射治疗学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344</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放射医学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345</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核医学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346</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超声波医学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347</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麻醉学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348</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康复医学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349</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推拿（按摩）学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350</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中医针灸学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351</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病理学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352</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临床医学检验学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353</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口腔医学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354</w:t>
            </w:r>
          </w:p>
        </w:tc>
        <w:tc>
          <w:tcPr>
            <w:tcW w:w="641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口腔内科学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355</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口腔颌面外科学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356</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口腔修复学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357</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口腔正畸学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358</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疼痛学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359</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重症医学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360</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计划生育</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361</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疾病控制</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362</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公共卫生</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363</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职业卫生</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364</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妇幼保健</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365</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健康教育</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366</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药学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367</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中药学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368</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护理学</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369</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内科护理</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370</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外科护理</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371</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妇产科护理</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372</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儿科护理</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373</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社区护理</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374</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中医护理</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375</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口腔医学技术</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376</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放射医学技术</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377</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核医学技术</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378</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超声波医学技术</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379</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临床医学检验技术</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380</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病理学技术</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381</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康复医学治疗技术</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382</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营养</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383</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理化检验技术</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384</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微生物检验技术</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385</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消毒技术</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386</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心理治疗</w:t>
            </w:r>
          </w:p>
        </w:tc>
      </w:tr>
      <w:tr>
        <w:tblPrEx>
          <w:tblCellMar>
            <w:top w:w="0" w:type="dxa"/>
            <w:left w:w="0" w:type="dxa"/>
            <w:bottom w:w="0" w:type="dxa"/>
            <w:right w:w="0" w:type="dxa"/>
          </w:tblCellMar>
        </w:tblPrEx>
        <w:trPr>
          <w:trHeight w:val="567" w:hRule="exact"/>
          <w:jc w:val="center"/>
        </w:trPr>
        <w:tc>
          <w:tcPr>
            <w:tcW w:w="2278"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387</w:t>
            </w:r>
          </w:p>
        </w:tc>
        <w:tc>
          <w:tcPr>
            <w:tcW w:w="6416" w:type="dxa"/>
            <w:tcBorders>
              <w:top w:val="nil"/>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心电学技术</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388</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肿瘤放射治疗技术</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389</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病案信息技术</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b/>
                <w:bCs/>
                <w:sz w:val="32"/>
                <w:szCs w:val="32"/>
              </w:rPr>
              <w:t>390</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cs="宋体"/>
                <w:sz w:val="32"/>
                <w:szCs w:val="32"/>
              </w:rPr>
            </w:pPr>
            <w:r>
              <w:rPr>
                <w:rFonts w:hint="eastAsia" w:ascii="仿宋" w:hAnsi="仿宋" w:eastAsia="仿宋"/>
                <w:sz w:val="32"/>
                <w:szCs w:val="32"/>
              </w:rPr>
              <w:t>输血技术</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rFonts w:hint="eastAsia"/>
                <w:b/>
                <w:bCs/>
                <w:sz w:val="32"/>
                <w:szCs w:val="32"/>
              </w:rPr>
              <w:t>391</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sz w:val="32"/>
                <w:szCs w:val="32"/>
              </w:rPr>
            </w:pPr>
            <w:r>
              <w:rPr>
                <w:rFonts w:hint="eastAsia" w:ascii="仿宋" w:hAnsi="仿宋" w:eastAsia="仿宋"/>
                <w:sz w:val="32"/>
                <w:szCs w:val="32"/>
              </w:rPr>
              <w:t>神经电生理（脑电图）技术</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rFonts w:hint="eastAsia"/>
                <w:b/>
                <w:bCs/>
                <w:sz w:val="32"/>
                <w:szCs w:val="32"/>
              </w:rPr>
              <w:t>392</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sz w:val="32"/>
                <w:szCs w:val="32"/>
              </w:rPr>
            </w:pPr>
            <w:r>
              <w:rPr>
                <w:rFonts w:hint="eastAsia" w:ascii="仿宋" w:hAnsi="仿宋" w:eastAsia="仿宋"/>
                <w:sz w:val="32"/>
                <w:szCs w:val="32"/>
              </w:rPr>
              <w:t>急诊医学</w:t>
            </w:r>
          </w:p>
        </w:tc>
      </w:tr>
      <w:tr>
        <w:tblPrEx>
          <w:tblCellMar>
            <w:top w:w="0" w:type="dxa"/>
            <w:left w:w="0" w:type="dxa"/>
            <w:bottom w:w="0" w:type="dxa"/>
            <w:right w:w="0" w:type="dxa"/>
          </w:tblCellMar>
        </w:tblPrEx>
        <w:trPr>
          <w:trHeight w:val="567" w:hRule="exact"/>
          <w:jc w:val="center"/>
        </w:trPr>
        <w:tc>
          <w:tcPr>
            <w:tcW w:w="227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32"/>
                <w:szCs w:val="32"/>
              </w:rPr>
            </w:pPr>
            <w:r>
              <w:rPr>
                <w:rFonts w:hint="eastAsia"/>
                <w:b/>
                <w:bCs/>
                <w:sz w:val="32"/>
                <w:szCs w:val="32"/>
              </w:rPr>
              <w:t>393</w:t>
            </w:r>
          </w:p>
        </w:tc>
        <w:tc>
          <w:tcPr>
            <w:tcW w:w="6416"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ind w:firstLine="320" w:firstLineChars="100"/>
              <w:jc w:val="left"/>
              <w:rPr>
                <w:rFonts w:ascii="仿宋" w:hAnsi="仿宋" w:eastAsia="仿宋"/>
                <w:sz w:val="32"/>
                <w:szCs w:val="32"/>
              </w:rPr>
            </w:pPr>
            <w:r>
              <w:rPr>
                <w:rFonts w:hint="eastAsia" w:ascii="仿宋" w:hAnsi="仿宋" w:eastAsia="仿宋"/>
                <w:sz w:val="32"/>
                <w:szCs w:val="32"/>
              </w:rPr>
              <w:t>眼视光技术</w:t>
            </w:r>
          </w:p>
        </w:tc>
      </w:tr>
    </w:tbl>
    <w:p>
      <w:pPr>
        <w:rPr>
          <w:rFonts w:ascii="仿宋" w:hAnsi="仿宋" w:eastAsia="仿宋"/>
          <w:sz w:val="32"/>
        </w:rPr>
      </w:pPr>
    </w:p>
    <w:p>
      <w:pPr>
        <w:jc w:val="center"/>
        <w:rPr>
          <w:rFonts w:ascii="仿宋" w:hAnsi="仿宋" w:eastAsia="仿宋"/>
          <w:color w:val="FF000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VkYjg5OWI5MDVjMTkxNzA0MzZmNzI5NDZhMmI5YTYifQ=="/>
  </w:docVars>
  <w:rsids>
    <w:rsidRoot w:val="005E10FD"/>
    <w:rsid w:val="00010149"/>
    <w:rsid w:val="00024715"/>
    <w:rsid w:val="00034836"/>
    <w:rsid w:val="000C795F"/>
    <w:rsid w:val="00106BA2"/>
    <w:rsid w:val="00144AFB"/>
    <w:rsid w:val="001735D8"/>
    <w:rsid w:val="00191992"/>
    <w:rsid w:val="001B1A20"/>
    <w:rsid w:val="00201691"/>
    <w:rsid w:val="00207901"/>
    <w:rsid w:val="00262CEB"/>
    <w:rsid w:val="0026491E"/>
    <w:rsid w:val="002C1880"/>
    <w:rsid w:val="002C794C"/>
    <w:rsid w:val="002D35E8"/>
    <w:rsid w:val="002D4F1A"/>
    <w:rsid w:val="002E04DE"/>
    <w:rsid w:val="002F55A8"/>
    <w:rsid w:val="003023AA"/>
    <w:rsid w:val="00331385"/>
    <w:rsid w:val="00342F7F"/>
    <w:rsid w:val="00362670"/>
    <w:rsid w:val="003663D7"/>
    <w:rsid w:val="003670C5"/>
    <w:rsid w:val="003840CA"/>
    <w:rsid w:val="003900FE"/>
    <w:rsid w:val="003A02C3"/>
    <w:rsid w:val="003F03D0"/>
    <w:rsid w:val="003F60E5"/>
    <w:rsid w:val="00411DAC"/>
    <w:rsid w:val="00427B57"/>
    <w:rsid w:val="004427CB"/>
    <w:rsid w:val="0047398C"/>
    <w:rsid w:val="00477E6A"/>
    <w:rsid w:val="004A4913"/>
    <w:rsid w:val="004F381F"/>
    <w:rsid w:val="00513C82"/>
    <w:rsid w:val="00522DE1"/>
    <w:rsid w:val="005401FD"/>
    <w:rsid w:val="005B3761"/>
    <w:rsid w:val="005D376F"/>
    <w:rsid w:val="005E10FD"/>
    <w:rsid w:val="005E1EDF"/>
    <w:rsid w:val="005E5143"/>
    <w:rsid w:val="00622991"/>
    <w:rsid w:val="00640681"/>
    <w:rsid w:val="006506CA"/>
    <w:rsid w:val="00651E27"/>
    <w:rsid w:val="00655D91"/>
    <w:rsid w:val="006865ED"/>
    <w:rsid w:val="00693224"/>
    <w:rsid w:val="006D6E5A"/>
    <w:rsid w:val="006E269F"/>
    <w:rsid w:val="00717BAB"/>
    <w:rsid w:val="007264E0"/>
    <w:rsid w:val="007556E9"/>
    <w:rsid w:val="007B4203"/>
    <w:rsid w:val="007D4296"/>
    <w:rsid w:val="007E7D69"/>
    <w:rsid w:val="007F31F5"/>
    <w:rsid w:val="0082667A"/>
    <w:rsid w:val="00853FDB"/>
    <w:rsid w:val="0086158F"/>
    <w:rsid w:val="00865AFD"/>
    <w:rsid w:val="0088116A"/>
    <w:rsid w:val="008B1B92"/>
    <w:rsid w:val="008D25B7"/>
    <w:rsid w:val="008F6787"/>
    <w:rsid w:val="00932241"/>
    <w:rsid w:val="00942E7B"/>
    <w:rsid w:val="00944BD4"/>
    <w:rsid w:val="0095064E"/>
    <w:rsid w:val="009655BB"/>
    <w:rsid w:val="009C0E7C"/>
    <w:rsid w:val="009E5BF8"/>
    <w:rsid w:val="00A358C8"/>
    <w:rsid w:val="00A874C3"/>
    <w:rsid w:val="00A95933"/>
    <w:rsid w:val="00AF5EA5"/>
    <w:rsid w:val="00B1198F"/>
    <w:rsid w:val="00B250B4"/>
    <w:rsid w:val="00B44BB8"/>
    <w:rsid w:val="00B766E1"/>
    <w:rsid w:val="00B81742"/>
    <w:rsid w:val="00B93479"/>
    <w:rsid w:val="00BA7AAB"/>
    <w:rsid w:val="00BB7B33"/>
    <w:rsid w:val="00C44754"/>
    <w:rsid w:val="00C844B6"/>
    <w:rsid w:val="00CB396F"/>
    <w:rsid w:val="00CB75D8"/>
    <w:rsid w:val="00CC1810"/>
    <w:rsid w:val="00CE5559"/>
    <w:rsid w:val="00CE5A51"/>
    <w:rsid w:val="00D149A5"/>
    <w:rsid w:val="00D20351"/>
    <w:rsid w:val="00D57283"/>
    <w:rsid w:val="00D765A5"/>
    <w:rsid w:val="00D9627F"/>
    <w:rsid w:val="00DC6C86"/>
    <w:rsid w:val="00E043BD"/>
    <w:rsid w:val="00E16E38"/>
    <w:rsid w:val="00E2310F"/>
    <w:rsid w:val="00EA121F"/>
    <w:rsid w:val="00EB767E"/>
    <w:rsid w:val="00ED07EE"/>
    <w:rsid w:val="00EF0A7A"/>
    <w:rsid w:val="00EF3DDE"/>
    <w:rsid w:val="00F02D9E"/>
    <w:rsid w:val="00F1606E"/>
    <w:rsid w:val="00F22296"/>
    <w:rsid w:val="00F75272"/>
    <w:rsid w:val="2AAA74AC"/>
    <w:rsid w:val="38424C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0"/>
    <w:semiHidden/>
    <w:unhideWhenUsed/>
    <w:uiPriority w:val="0"/>
    <w:rPr>
      <w:rFonts w:ascii="宋体" w:hAnsi="Courier New" w:cs="Courier New"/>
      <w:szCs w:val="21"/>
    </w:rPr>
  </w:style>
  <w:style w:type="paragraph" w:styleId="3">
    <w:name w:val="Balloon Text"/>
    <w:basedOn w:val="1"/>
    <w:link w:val="14"/>
    <w:semiHidden/>
    <w:unhideWhenUsed/>
    <w:uiPriority w:val="99"/>
    <w:rPr>
      <w:sz w:val="18"/>
      <w:szCs w:val="18"/>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22"/>
    <w:rPr>
      <w:b/>
      <w:bCs/>
    </w:rPr>
  </w:style>
  <w:style w:type="character" w:styleId="9">
    <w:name w:val="Hyperlink"/>
    <w:basedOn w:val="7"/>
    <w:unhideWhenUsed/>
    <w:qFormat/>
    <w:uiPriority w:val="99"/>
    <w:rPr>
      <w:color w:val="0000FF" w:themeColor="hyperlink"/>
      <w:u w:val="single"/>
    </w:rPr>
  </w:style>
  <w:style w:type="character" w:customStyle="1" w:styleId="10">
    <w:name w:val="纯文本 Char"/>
    <w:basedOn w:val="7"/>
    <w:link w:val="2"/>
    <w:semiHidden/>
    <w:qFormat/>
    <w:uiPriority w:val="0"/>
    <w:rPr>
      <w:rFonts w:ascii="宋体" w:hAnsi="Courier New" w:eastAsia="宋体" w:cs="Courier New"/>
      <w:szCs w:val="21"/>
    </w:rPr>
  </w:style>
  <w:style w:type="character" w:customStyle="1" w:styleId="11">
    <w:name w:val="页眉 Char"/>
    <w:basedOn w:val="7"/>
    <w:link w:val="5"/>
    <w:semiHidden/>
    <w:qFormat/>
    <w:uiPriority w:val="99"/>
    <w:rPr>
      <w:rFonts w:ascii="Times New Roman" w:hAnsi="Times New Roman" w:eastAsia="宋体" w:cs="Times New Roman"/>
      <w:sz w:val="18"/>
      <w:szCs w:val="18"/>
    </w:rPr>
  </w:style>
  <w:style w:type="character" w:customStyle="1" w:styleId="12">
    <w:name w:val="页脚 Char"/>
    <w:basedOn w:val="7"/>
    <w:link w:val="4"/>
    <w:semiHidden/>
    <w:qFormat/>
    <w:uiPriority w:val="99"/>
    <w:rPr>
      <w:rFonts w:ascii="Times New Roman" w:hAnsi="Times New Roman" w:eastAsia="宋体" w:cs="Times New Roman"/>
      <w:sz w:val="18"/>
      <w:szCs w:val="18"/>
    </w:rPr>
  </w:style>
  <w:style w:type="paragraph" w:styleId="13">
    <w:name w:val="List Paragraph"/>
    <w:basedOn w:val="1"/>
    <w:qFormat/>
    <w:uiPriority w:val="34"/>
    <w:pPr>
      <w:ind w:firstLine="420" w:firstLineChars="200"/>
    </w:pPr>
  </w:style>
  <w:style w:type="character" w:customStyle="1" w:styleId="14">
    <w:name w:val="批注框文本 Char"/>
    <w:basedOn w:val="7"/>
    <w:link w:val="3"/>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17</Pages>
  <Words>5364</Words>
  <Characters>5860</Characters>
  <Lines>53</Lines>
  <Paragraphs>15</Paragraphs>
  <TotalTime>1</TotalTime>
  <ScaleCrop>false</ScaleCrop>
  <LinksUpToDate>false</LinksUpToDate>
  <CharactersWithSpaces>5926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2020-12-25T06:33:00Z</dcterms:created>
  <dc:creator>微软用户</dc:creator>
  <cp:lastModifiedBy>佑～的小迷妹</cp:lastModifiedBy>
  <cp:lastPrinted>2021-12-16T09:35:00Z</cp:lastPrinted>
  <dcterms:modified xsi:type="dcterms:W3CDTF">2022-12-29T01:46:26Z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FDCE8436DBAE4EB48DEF4E37298F9BE9</vt:lpwstr>
  </property>
</Properties>
</file>