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sz w:val="32"/>
          <w:szCs w:val="32"/>
        </w:rPr>
        <w:t>附件1</w:t>
      </w:r>
    </w:p>
    <w:p>
      <w:pPr>
        <w:widowControl/>
        <w:spacing w:line="56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2022年四季度非在编人员招聘情况一览表</w:t>
      </w:r>
    </w:p>
    <w:tbl>
      <w:tblPr>
        <w:tblStyle w:val="2"/>
        <w:tblW w:w="15309" w:type="dxa"/>
        <w:tblInd w:w="-552" w:type="dxa"/>
        <w:tblLayout w:type="fixed"/>
        <w:tblCellMar>
          <w:top w:w="0" w:type="dxa"/>
          <w:left w:w="108" w:type="dxa"/>
          <w:bottom w:w="0" w:type="dxa"/>
          <w:right w:w="108" w:type="dxa"/>
        </w:tblCellMar>
      </w:tblPr>
      <w:tblGrid>
        <w:gridCol w:w="567"/>
        <w:gridCol w:w="945"/>
        <w:gridCol w:w="615"/>
        <w:gridCol w:w="1842"/>
        <w:gridCol w:w="2410"/>
        <w:gridCol w:w="567"/>
        <w:gridCol w:w="852"/>
        <w:gridCol w:w="4535"/>
        <w:gridCol w:w="708"/>
        <w:gridCol w:w="1300"/>
        <w:gridCol w:w="968"/>
      </w:tblGrid>
      <w:tr>
        <w:tblPrEx>
          <w:tblCellMar>
            <w:top w:w="0" w:type="dxa"/>
            <w:left w:w="108" w:type="dxa"/>
            <w:bottom w:w="0" w:type="dxa"/>
            <w:right w:w="108" w:type="dxa"/>
          </w:tblCellMar>
        </w:tblPrEx>
        <w:trPr>
          <w:trHeight w:val="395" w:hRule="atLeast"/>
        </w:trPr>
        <w:tc>
          <w:tcPr>
            <w:tcW w:w="567"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tabs>
                <w:tab w:val="left" w:pos="3154"/>
              </w:tabs>
              <w:jc w:val="left"/>
              <w:rPr>
                <w:rFonts w:ascii="宋体" w:hAnsi="宋体" w:cs="宋体"/>
                <w:color w:val="000000"/>
                <w:sz w:val="22"/>
              </w:rPr>
            </w:pPr>
            <w:r>
              <w:rPr>
                <w:rFonts w:hint="eastAsia" w:ascii="宋体" w:hAnsi="宋体" w:cs="宋体"/>
                <w:color w:val="000000"/>
                <w:sz w:val="22"/>
              </w:rPr>
              <w:t>序号</w:t>
            </w:r>
          </w:p>
        </w:tc>
        <w:tc>
          <w:tcPr>
            <w:tcW w:w="94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岗位名称</w:t>
            </w:r>
          </w:p>
        </w:tc>
        <w:tc>
          <w:tcPr>
            <w:tcW w:w="615"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招聘名额</w:t>
            </w:r>
          </w:p>
        </w:tc>
        <w:tc>
          <w:tcPr>
            <w:tcW w:w="1020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招聘条件</w:t>
            </w:r>
          </w:p>
        </w:tc>
        <w:tc>
          <w:tcPr>
            <w:tcW w:w="708"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岗位类别</w:t>
            </w:r>
          </w:p>
        </w:tc>
        <w:tc>
          <w:tcPr>
            <w:tcW w:w="1300"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考核方式</w:t>
            </w:r>
          </w:p>
        </w:tc>
        <w:tc>
          <w:tcPr>
            <w:tcW w:w="968"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笔试科目</w:t>
            </w:r>
          </w:p>
        </w:tc>
      </w:tr>
      <w:tr>
        <w:tblPrEx>
          <w:tblCellMar>
            <w:top w:w="0" w:type="dxa"/>
            <w:left w:w="108" w:type="dxa"/>
            <w:bottom w:w="0" w:type="dxa"/>
            <w:right w:w="108" w:type="dxa"/>
          </w:tblCellMar>
        </w:tblPrEx>
        <w:trPr>
          <w:trHeight w:val="326" w:hRule="atLeast"/>
        </w:trPr>
        <w:tc>
          <w:tcPr>
            <w:tcW w:w="567"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94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615"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1842"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学历（学位）</w:t>
            </w:r>
          </w:p>
        </w:tc>
        <w:tc>
          <w:tcPr>
            <w:tcW w:w="2410"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spacing w:line="280" w:lineRule="exact"/>
              <w:jc w:val="left"/>
              <w:rPr>
                <w:rFonts w:ascii="宋体" w:hAnsi="宋体" w:cs="宋体"/>
                <w:color w:val="000000"/>
                <w:sz w:val="22"/>
              </w:rPr>
            </w:pPr>
            <w:r>
              <w:rPr>
                <w:rFonts w:hint="eastAsia" w:ascii="宋体" w:hAnsi="宋体" w:cs="宋体"/>
                <w:color w:val="000000"/>
                <w:kern w:val="0"/>
                <w:sz w:val="22"/>
              </w:rPr>
              <w:t>专业</w:t>
            </w:r>
          </w:p>
        </w:tc>
        <w:tc>
          <w:tcPr>
            <w:tcW w:w="567"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spacing w:line="280" w:lineRule="exact"/>
              <w:jc w:val="left"/>
              <w:rPr>
                <w:rFonts w:ascii="宋体" w:hAnsi="宋体" w:cs="宋体"/>
                <w:color w:val="000000"/>
                <w:sz w:val="20"/>
                <w:szCs w:val="20"/>
              </w:rPr>
            </w:pPr>
            <w:r>
              <w:rPr>
                <w:rFonts w:hint="eastAsia" w:ascii="宋体" w:hAnsi="宋体" w:cs="宋体"/>
                <w:color w:val="000000"/>
                <w:kern w:val="0"/>
                <w:sz w:val="20"/>
                <w:szCs w:val="20"/>
              </w:rPr>
              <w:t>性别</w:t>
            </w:r>
          </w:p>
        </w:tc>
        <w:tc>
          <w:tcPr>
            <w:tcW w:w="852"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年龄</w:t>
            </w:r>
          </w:p>
        </w:tc>
        <w:tc>
          <w:tcPr>
            <w:tcW w:w="4535"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其他要求</w:t>
            </w:r>
          </w:p>
        </w:tc>
        <w:tc>
          <w:tcPr>
            <w:tcW w:w="708"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130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c>
          <w:tcPr>
            <w:tcW w:w="968"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jc w:val="left"/>
              <w:rPr>
                <w:rFonts w:ascii="宋体" w:hAnsi="宋体" w:cs="宋体"/>
                <w:color w:val="000000"/>
                <w:sz w:val="22"/>
              </w:rPr>
            </w:pPr>
          </w:p>
        </w:tc>
      </w:tr>
      <w:tr>
        <w:tblPrEx>
          <w:tblCellMar>
            <w:top w:w="0" w:type="dxa"/>
            <w:left w:w="108" w:type="dxa"/>
            <w:bottom w:w="0" w:type="dxa"/>
            <w:right w:w="108" w:type="dxa"/>
          </w:tblCellMar>
        </w:tblPrEx>
        <w:trPr>
          <w:trHeight w:val="60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ascii="宋体" w:hAnsi="宋体" w:cs="宋体"/>
                <w:szCs w:val="21"/>
              </w:rPr>
            </w:pPr>
            <w:r>
              <w:rPr>
                <w:rFonts w:hint="eastAsia" w:ascii="宋体" w:hAnsi="宋体" w:cs="宋体"/>
                <w:szCs w:val="21"/>
              </w:rPr>
              <w:t>1</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宋体" w:eastAsia="方正仿宋_GBK"/>
                <w:szCs w:val="21"/>
              </w:rPr>
            </w:pPr>
            <w:r>
              <w:rPr>
                <w:rFonts w:hint="eastAsia" w:ascii="方正仿宋_GBK" w:hAnsi="宋体" w:eastAsia="方正仿宋_GBK"/>
                <w:szCs w:val="21"/>
              </w:rPr>
              <w:t>临床岗位</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szCs w:val="21"/>
              </w:rPr>
            </w:pPr>
            <w:r>
              <w:rPr>
                <w:rFonts w:hint="eastAsia" w:ascii="方正仿宋_GBK" w:hAnsi="宋体" w:eastAsia="方正仿宋_GBK"/>
                <w:szCs w:val="21"/>
              </w:rPr>
              <w:t>2</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宋体" w:eastAsia="方正仿宋_GBK"/>
                <w:szCs w:val="21"/>
              </w:rPr>
            </w:pPr>
            <w:r>
              <w:rPr>
                <w:rFonts w:hint="eastAsia" w:ascii="方正仿宋_GBK" w:hAnsi="宋体" w:eastAsia="方正仿宋_GBK"/>
                <w:szCs w:val="21"/>
              </w:rPr>
              <w:t>全日制普通高校本科及以上学历并取得相应学位</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ascii="方正仿宋_GBK" w:hAnsi="宋体" w:eastAsia="方正仿宋_GBK"/>
                <w:szCs w:val="21"/>
              </w:rPr>
            </w:pPr>
            <w:r>
              <w:rPr>
                <w:rFonts w:hint="eastAsia" w:ascii="方正仿宋_GBK" w:hAnsi="宋体" w:eastAsia="方正仿宋_GBK"/>
                <w:szCs w:val="21"/>
              </w:rPr>
              <w:t>本科：临床医学；</w:t>
            </w:r>
          </w:p>
          <w:p>
            <w:pPr>
              <w:spacing w:line="280" w:lineRule="exact"/>
              <w:jc w:val="left"/>
              <w:rPr>
                <w:rFonts w:hint="eastAsia" w:ascii="方正仿宋_GBK" w:hAnsi="宋体" w:eastAsia="方正仿宋_GBK"/>
                <w:szCs w:val="21"/>
              </w:rPr>
            </w:pPr>
            <w:r>
              <w:rPr>
                <w:rFonts w:hint="eastAsia" w:ascii="方正仿宋_GBK" w:hAnsi="宋体" w:eastAsia="方正仿宋_GBK"/>
                <w:szCs w:val="21"/>
              </w:rPr>
              <w:t>研究生：内科学、外科学、全科医学、急诊医学、重症医学</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hAnsi="宋体" w:eastAsia="方正仿宋_GBK"/>
                <w:szCs w:val="21"/>
              </w:rPr>
            </w:pPr>
            <w:r>
              <w:rPr>
                <w:rFonts w:hint="eastAsia" w:ascii="方正仿宋_GBK" w:hAnsi="宋体"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35周岁及以下</w:t>
            </w:r>
          </w:p>
        </w:tc>
        <w:tc>
          <w:tcPr>
            <w:tcW w:w="4535" w:type="dxa"/>
            <w:vMerge w:val="restart"/>
            <w:tcBorders>
              <w:top w:val="single" w:color="auto" w:sz="4" w:space="0"/>
              <w:left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 xml:space="preserve">1.取得执业医师资格证书； </w:t>
            </w:r>
          </w:p>
          <w:p>
            <w:pPr>
              <w:spacing w:line="280" w:lineRule="exact"/>
              <w:jc w:val="left"/>
              <w:rPr>
                <w:rFonts w:ascii="方正仿宋_GBK" w:eastAsia="方正仿宋_GBK"/>
                <w:szCs w:val="21"/>
              </w:rPr>
            </w:pPr>
            <w:r>
              <w:rPr>
                <w:rFonts w:hint="eastAsia" w:ascii="方正仿宋_GBK" w:eastAsia="方正仿宋_GBK"/>
                <w:szCs w:val="21"/>
              </w:rPr>
              <w:t>2.须在2022年12月31日前取得住院医师规范化培训合格证书或具有主治及以上专业技术职称。</w:t>
            </w:r>
          </w:p>
          <w:p>
            <w:pPr>
              <w:jc w:val="left"/>
              <w:rPr>
                <w:rFonts w:ascii="宋体" w:hAnsi="宋体" w:cs="宋体"/>
                <w:sz w:val="18"/>
                <w:szCs w:val="18"/>
              </w:rPr>
            </w:pPr>
          </w:p>
        </w:tc>
        <w:tc>
          <w:tcPr>
            <w:tcW w:w="708"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r>
              <w:rPr>
                <w:rFonts w:hint="eastAsia" w:ascii="宋体" w:hAnsi="宋体" w:cs="宋体"/>
                <w:kern w:val="0"/>
                <w:sz w:val="18"/>
                <w:szCs w:val="18"/>
              </w:rPr>
              <w:t>急需紧缺类、成熟性人才岗位</w:t>
            </w:r>
          </w:p>
        </w:tc>
        <w:tc>
          <w:tcPr>
            <w:tcW w:w="1300"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r>
              <w:rPr>
                <w:rFonts w:hint="eastAsia" w:ascii="宋体" w:hAnsi="宋体" w:cs="宋体"/>
                <w:kern w:val="0"/>
                <w:sz w:val="18"/>
                <w:szCs w:val="18"/>
              </w:rPr>
              <w:t>专业考核*60%+面试考核*40%</w:t>
            </w:r>
          </w:p>
          <w:p>
            <w:pPr>
              <w:jc w:val="center"/>
              <w:textAlignment w:val="center"/>
              <w:rPr>
                <w:rFonts w:ascii="宋体" w:hAnsi="宋体" w:cs="宋体"/>
                <w:kern w:val="0"/>
                <w:sz w:val="20"/>
                <w:szCs w:val="20"/>
              </w:rPr>
            </w:pPr>
            <w:r>
              <w:rPr>
                <w:rFonts w:hint="eastAsia" w:ascii="宋体" w:hAnsi="宋体" w:cs="宋体"/>
                <w:kern w:val="0"/>
                <w:sz w:val="18"/>
                <w:szCs w:val="18"/>
              </w:rPr>
              <w:t>视报名情况确定考核方式，若需笔试，笔试科目为综合基础知识（卫生类）</w:t>
            </w:r>
          </w:p>
        </w:tc>
        <w:tc>
          <w:tcPr>
            <w:tcW w:w="968" w:type="dxa"/>
            <w:vMerge w:val="restart"/>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方正仿宋_GBK" w:hAnsi="方正仿宋_GBK" w:eastAsia="方正仿宋_GBK" w:cs="方正仿宋_GBK"/>
                <w:sz w:val="20"/>
                <w:szCs w:val="20"/>
              </w:rPr>
            </w:pPr>
            <w:r>
              <w:rPr>
                <w:rFonts w:hint="eastAsia" w:ascii="宋体" w:hAnsi="宋体" w:cs="宋体"/>
                <w:kern w:val="0"/>
                <w:sz w:val="18"/>
                <w:szCs w:val="18"/>
              </w:rPr>
              <w:t>若需笔试，笔试科目为综合基础知识（卫生类</w:t>
            </w:r>
            <w:r>
              <w:rPr>
                <w:rFonts w:ascii="宋体" w:hAnsi="宋体" w:cs="宋体"/>
                <w:kern w:val="0"/>
                <w:sz w:val="18"/>
                <w:szCs w:val="18"/>
              </w:rPr>
              <w:t>）</w:t>
            </w:r>
            <w:r>
              <w:rPr>
                <w:rFonts w:hint="eastAsia" w:ascii="宋体" w:hAnsi="宋体" w:cs="宋体"/>
                <w:kern w:val="0"/>
                <w:sz w:val="18"/>
                <w:szCs w:val="18"/>
              </w:rPr>
              <w:t>详见附件2</w:t>
            </w:r>
          </w:p>
        </w:tc>
      </w:tr>
      <w:tr>
        <w:tblPrEx>
          <w:tblCellMar>
            <w:top w:w="0" w:type="dxa"/>
            <w:left w:w="108" w:type="dxa"/>
            <w:bottom w:w="0" w:type="dxa"/>
            <w:right w:w="108" w:type="dxa"/>
          </w:tblCellMar>
        </w:tblPrEx>
        <w:trPr>
          <w:trHeight w:val="60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ascii="宋体" w:hAnsi="宋体" w:cs="宋体"/>
                <w:szCs w:val="21"/>
              </w:rPr>
            </w:pPr>
            <w:r>
              <w:rPr>
                <w:rFonts w:hint="eastAsia" w:ascii="宋体" w:hAnsi="宋体" w:cs="宋体"/>
                <w:szCs w:val="21"/>
              </w:rPr>
              <w:t>2</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宋体" w:eastAsia="方正仿宋_GBK"/>
                <w:szCs w:val="21"/>
              </w:rPr>
            </w:pPr>
            <w:r>
              <w:rPr>
                <w:rFonts w:hint="eastAsia" w:ascii="方正仿宋_GBK" w:hAnsi="宋体" w:eastAsia="方正仿宋_GBK"/>
                <w:szCs w:val="21"/>
              </w:rPr>
              <w:t>超声科</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szCs w:val="21"/>
              </w:rPr>
            </w:pPr>
            <w:r>
              <w:rPr>
                <w:rFonts w:hint="eastAsia" w:ascii="方正仿宋_GBK" w:hAnsi="宋体" w:eastAsia="方正仿宋_GBK"/>
                <w:szCs w:val="21"/>
              </w:rPr>
              <w:t>1</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宋体" w:eastAsia="方正仿宋_GBK"/>
                <w:szCs w:val="21"/>
              </w:rPr>
            </w:pPr>
            <w:r>
              <w:rPr>
                <w:rFonts w:hint="eastAsia" w:ascii="方正仿宋_GBK" w:hAnsi="宋体" w:eastAsia="方正仿宋_GBK"/>
                <w:szCs w:val="21"/>
              </w:rPr>
              <w:t>全日制普通高校本科及以上学历并取得相应学位</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方正仿宋_GBK" w:hAnsi="宋体" w:eastAsia="方正仿宋_GBK"/>
                <w:szCs w:val="21"/>
              </w:rPr>
            </w:pPr>
            <w:r>
              <w:rPr>
                <w:rFonts w:hint="eastAsia" w:ascii="方正仿宋_GBK" w:hAnsi="宋体" w:eastAsia="方正仿宋_GBK"/>
                <w:szCs w:val="21"/>
              </w:rPr>
              <w:t>本科：医学影像学；研究生：影像医学与核医学</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hAnsi="宋体" w:eastAsia="方正仿宋_GBK"/>
                <w:szCs w:val="21"/>
              </w:rPr>
            </w:pPr>
            <w:r>
              <w:rPr>
                <w:rFonts w:hint="eastAsia" w:ascii="方正仿宋_GBK" w:hAnsi="宋体"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hAnsi="宋体" w:eastAsia="方正仿宋_GBK"/>
                <w:szCs w:val="21"/>
              </w:rPr>
            </w:pPr>
            <w:r>
              <w:rPr>
                <w:rFonts w:hint="eastAsia" w:ascii="方正仿宋_GBK" w:hAnsi="宋体" w:eastAsia="方正仿宋_GBK"/>
                <w:szCs w:val="21"/>
              </w:rPr>
              <w:t>35周岁及以下</w:t>
            </w:r>
          </w:p>
        </w:tc>
        <w:tc>
          <w:tcPr>
            <w:tcW w:w="4535" w:type="dxa"/>
            <w:vMerge w:val="continue"/>
            <w:tcBorders>
              <w:left w:val="single" w:color="auto" w:sz="4" w:space="0"/>
              <w:right w:val="single" w:color="auto" w:sz="4" w:space="0"/>
            </w:tcBorders>
            <w:shd w:val="clear" w:color="auto" w:fill="FFFFFF"/>
            <w:noWrap w:val="0"/>
            <w:tcMar>
              <w:top w:w="15" w:type="dxa"/>
              <w:left w:w="15" w:type="dxa"/>
              <w:bottom w:w="15" w:type="dxa"/>
              <w:right w:w="15" w:type="dxa"/>
            </w:tcMar>
            <w:vAlign w:val="center"/>
          </w:tcPr>
          <w:p>
            <w:pPr>
              <w:jc w:val="left"/>
              <w:rPr>
                <w:rFonts w:ascii="宋体" w:hAnsi="宋体" w:cs="宋体"/>
                <w:sz w:val="18"/>
                <w:szCs w:val="18"/>
              </w:rPr>
            </w:pP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p>
        </w:tc>
        <w:tc>
          <w:tcPr>
            <w:tcW w:w="1300"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ascii="宋体" w:hAnsi="宋体" w:cs="宋体"/>
                <w:kern w:val="0"/>
                <w:sz w:val="20"/>
                <w:szCs w:val="20"/>
              </w:rPr>
            </w:pPr>
          </w:p>
        </w:tc>
        <w:tc>
          <w:tcPr>
            <w:tcW w:w="96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方正仿宋_GBK" w:hAnsi="方正仿宋_GBK" w:eastAsia="方正仿宋_GBK" w:cs="方正仿宋_GBK"/>
                <w:sz w:val="20"/>
                <w:szCs w:val="20"/>
              </w:rPr>
            </w:pPr>
          </w:p>
        </w:tc>
      </w:tr>
      <w:tr>
        <w:tblPrEx>
          <w:tblCellMar>
            <w:top w:w="0" w:type="dxa"/>
            <w:left w:w="108" w:type="dxa"/>
            <w:bottom w:w="0" w:type="dxa"/>
            <w:right w:w="108" w:type="dxa"/>
          </w:tblCellMar>
        </w:tblPrEx>
        <w:trPr>
          <w:trHeight w:val="9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3</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cs="宋体"/>
                <w:szCs w:val="21"/>
              </w:rPr>
            </w:pPr>
            <w:r>
              <w:rPr>
                <w:rFonts w:hint="eastAsia" w:ascii="方正仿宋_GBK" w:eastAsia="方正仿宋_GBK"/>
                <w:szCs w:val="21"/>
              </w:rPr>
              <w:t>神经内科(脑电图室)</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cs="宋体"/>
                <w:szCs w:val="21"/>
              </w:rPr>
            </w:pPr>
            <w:r>
              <w:rPr>
                <w:rFonts w:hint="eastAsia" w:ascii="方正仿宋_GBK" w:eastAsia="方正仿宋_GBK"/>
                <w:szCs w:val="21"/>
              </w:rPr>
              <w:t>1</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cs="宋体"/>
                <w:szCs w:val="21"/>
              </w:rPr>
            </w:pPr>
            <w:r>
              <w:rPr>
                <w:rFonts w:hint="eastAsia" w:ascii="方正仿宋_GBK" w:hAnsi="宋体" w:eastAsia="方正仿宋_GBK"/>
                <w:szCs w:val="21"/>
              </w:rPr>
              <w:t>全日制普通高校本科及以上学历并取得相应学位</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本科：临床医学；</w:t>
            </w:r>
          </w:p>
          <w:p>
            <w:pPr>
              <w:spacing w:line="280" w:lineRule="exact"/>
              <w:jc w:val="left"/>
              <w:rPr>
                <w:rFonts w:hint="eastAsia" w:ascii="方正仿宋_GBK" w:hAnsi="宋体" w:eastAsia="方正仿宋_GBK" w:cs="宋体"/>
                <w:szCs w:val="21"/>
              </w:rPr>
            </w:pPr>
            <w:r>
              <w:rPr>
                <w:rFonts w:hint="eastAsia" w:ascii="方正仿宋_GBK" w:eastAsia="方正仿宋_GBK"/>
                <w:szCs w:val="21"/>
              </w:rPr>
              <w:t>研究生：神经病学</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r>
              <w:rPr>
                <w:rFonts w:hint="eastAsia" w:ascii="方正仿宋_GBK"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r>
              <w:rPr>
                <w:rFonts w:hint="eastAsia" w:ascii="方正仿宋_GBK" w:eastAsia="方正仿宋_GBK"/>
                <w:szCs w:val="21"/>
              </w:rPr>
              <w:t>35周岁及以下</w:t>
            </w:r>
          </w:p>
        </w:tc>
        <w:tc>
          <w:tcPr>
            <w:tcW w:w="4535" w:type="dxa"/>
            <w:vMerge w:val="continue"/>
            <w:tcBorders>
              <w:left w:val="single" w:color="auto" w:sz="4" w:space="0"/>
              <w:right w:val="single" w:color="auto" w:sz="4" w:space="0"/>
            </w:tcBorders>
            <w:shd w:val="clear" w:color="auto" w:fill="FFFFFF"/>
            <w:noWrap w:val="0"/>
            <w:tcMar>
              <w:top w:w="15" w:type="dxa"/>
              <w:left w:w="15" w:type="dxa"/>
              <w:bottom w:w="15" w:type="dxa"/>
              <w:right w:w="15" w:type="dxa"/>
            </w:tcMar>
            <w:vAlign w:val="center"/>
          </w:tcPr>
          <w:p>
            <w:pPr>
              <w:jc w:val="left"/>
              <w:rPr>
                <w:rFonts w:ascii="宋体" w:hAnsi="宋体" w:cs="宋体"/>
                <w:sz w:val="18"/>
                <w:szCs w:val="18"/>
              </w:rPr>
            </w:pP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p>
        </w:tc>
        <w:tc>
          <w:tcPr>
            <w:tcW w:w="1300"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ascii="宋体" w:hAnsi="宋体" w:cs="宋体"/>
                <w:kern w:val="0"/>
                <w:sz w:val="20"/>
                <w:szCs w:val="20"/>
              </w:rPr>
            </w:pPr>
          </w:p>
        </w:tc>
        <w:tc>
          <w:tcPr>
            <w:tcW w:w="96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方正仿宋_GBK" w:hAnsi="方正仿宋_GBK" w:eastAsia="方正仿宋_GBK" w:cs="方正仿宋_GBK"/>
                <w:sz w:val="20"/>
                <w:szCs w:val="20"/>
              </w:rPr>
            </w:pPr>
          </w:p>
        </w:tc>
      </w:tr>
      <w:tr>
        <w:tblPrEx>
          <w:tblCellMar>
            <w:top w:w="0" w:type="dxa"/>
            <w:left w:w="108" w:type="dxa"/>
            <w:bottom w:w="0" w:type="dxa"/>
            <w:right w:w="108" w:type="dxa"/>
          </w:tblCellMar>
        </w:tblPrEx>
        <w:trPr>
          <w:trHeight w:val="43"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4</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宋体" w:eastAsia="方正仿宋_GBK" w:cs="宋体"/>
                <w:szCs w:val="21"/>
              </w:rPr>
            </w:pPr>
            <w:r>
              <w:rPr>
                <w:rFonts w:hint="eastAsia" w:ascii="方正仿宋_GBK" w:eastAsia="方正仿宋_GBK"/>
                <w:szCs w:val="21"/>
              </w:rPr>
              <w:t>感染性疾病科</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ascii="方正仿宋_GBK" w:hAnsi="宋体" w:eastAsia="方正仿宋_GBK" w:cs="宋体"/>
                <w:szCs w:val="21"/>
              </w:rPr>
            </w:pPr>
            <w:r>
              <w:rPr>
                <w:rFonts w:hint="eastAsia" w:ascii="方正仿宋_GBK" w:eastAsia="方正仿宋_GBK"/>
                <w:szCs w:val="21"/>
              </w:rPr>
              <w:t>1</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宋体" w:eastAsia="方正仿宋_GBK" w:cs="宋体"/>
                <w:szCs w:val="21"/>
              </w:rPr>
            </w:pPr>
            <w:r>
              <w:rPr>
                <w:rFonts w:hint="eastAsia" w:ascii="方正仿宋_GBK" w:hAnsi="宋体" w:eastAsia="方正仿宋_GBK"/>
                <w:szCs w:val="21"/>
              </w:rPr>
              <w:t>全日制普通高校本科及以上学历并取得相应学位</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本科：临床医学；</w:t>
            </w:r>
          </w:p>
          <w:p>
            <w:pPr>
              <w:spacing w:line="280" w:lineRule="exact"/>
              <w:jc w:val="left"/>
              <w:rPr>
                <w:rFonts w:ascii="方正仿宋_GBK" w:hAnsi="宋体" w:eastAsia="方正仿宋_GBK" w:cs="宋体"/>
                <w:szCs w:val="21"/>
              </w:rPr>
            </w:pPr>
            <w:r>
              <w:rPr>
                <w:rFonts w:hint="eastAsia" w:ascii="方正仿宋_GBK" w:eastAsia="方正仿宋_GBK"/>
                <w:szCs w:val="21"/>
              </w:rPr>
              <w:t>研究生：内科学（传染病学方向、呼吸内科方向）</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35周岁及以下</w:t>
            </w:r>
          </w:p>
        </w:tc>
        <w:tc>
          <w:tcPr>
            <w:tcW w:w="4535" w:type="dxa"/>
            <w:vMerge w:val="restart"/>
            <w:tcBorders>
              <w:top w:val="single" w:color="auto" w:sz="4" w:space="0"/>
              <w:left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1.提供与专业研究方向一致的证明；</w:t>
            </w:r>
          </w:p>
          <w:p>
            <w:pPr>
              <w:spacing w:line="280" w:lineRule="exact"/>
              <w:jc w:val="left"/>
              <w:rPr>
                <w:rFonts w:ascii="方正仿宋_GBK" w:eastAsia="方正仿宋_GBK"/>
                <w:szCs w:val="21"/>
              </w:rPr>
            </w:pPr>
            <w:r>
              <w:rPr>
                <w:rFonts w:hint="eastAsia" w:ascii="方正仿宋_GBK" w:eastAsia="方正仿宋_GBK"/>
                <w:szCs w:val="21"/>
              </w:rPr>
              <w:t xml:space="preserve">2.取得执业医师资格证书； </w:t>
            </w:r>
          </w:p>
          <w:p>
            <w:pPr>
              <w:spacing w:line="280" w:lineRule="exact"/>
              <w:jc w:val="left"/>
              <w:rPr>
                <w:rFonts w:ascii="方正仿宋_GBK" w:eastAsia="方正仿宋_GBK"/>
                <w:szCs w:val="21"/>
              </w:rPr>
            </w:pPr>
            <w:r>
              <w:rPr>
                <w:rFonts w:hint="eastAsia" w:ascii="方正仿宋_GBK" w:eastAsia="方正仿宋_GBK"/>
                <w:szCs w:val="21"/>
              </w:rPr>
              <w:t>3.须在2022年12月31日前取得住院医师规范化培训合格证书或具有主治及以上专业技术职称。</w:t>
            </w:r>
          </w:p>
          <w:p>
            <w:pPr>
              <w:jc w:val="left"/>
              <w:rPr>
                <w:rFonts w:ascii="宋体" w:hAnsi="宋体" w:cs="宋体"/>
                <w:sz w:val="18"/>
                <w:szCs w:val="18"/>
              </w:rPr>
            </w:pP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p>
        </w:tc>
        <w:tc>
          <w:tcPr>
            <w:tcW w:w="1300"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ascii="宋体" w:hAnsi="宋体" w:cs="宋体"/>
                <w:kern w:val="0"/>
                <w:sz w:val="20"/>
                <w:szCs w:val="20"/>
              </w:rPr>
            </w:pPr>
          </w:p>
        </w:tc>
        <w:tc>
          <w:tcPr>
            <w:tcW w:w="96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方正仿宋_GBK" w:hAnsi="方正仿宋_GBK" w:eastAsia="方正仿宋_GBK" w:cs="方正仿宋_GBK"/>
                <w:sz w:val="20"/>
                <w:szCs w:val="20"/>
              </w:rPr>
            </w:pPr>
          </w:p>
        </w:tc>
      </w:tr>
      <w:tr>
        <w:tblPrEx>
          <w:tblCellMar>
            <w:top w:w="0" w:type="dxa"/>
            <w:left w:w="108" w:type="dxa"/>
            <w:bottom w:w="0" w:type="dxa"/>
            <w:right w:w="108" w:type="dxa"/>
          </w:tblCellMar>
        </w:tblPrEx>
        <w:trPr>
          <w:trHeight w:val="1068"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5</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rPr>
                <w:rFonts w:ascii="方正仿宋_GBK" w:eastAsia="方正仿宋_GBK"/>
                <w:szCs w:val="21"/>
              </w:rPr>
            </w:pPr>
            <w:r>
              <w:rPr>
                <w:rFonts w:hint="eastAsia" w:ascii="方正仿宋_GBK" w:eastAsia="方正仿宋_GBK"/>
                <w:szCs w:val="21"/>
              </w:rPr>
              <w:t>呼吸与危重症医学科</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ascii="方正仿宋_GBK" w:eastAsia="方正仿宋_GBK"/>
                <w:szCs w:val="21"/>
              </w:rPr>
            </w:pPr>
            <w:r>
              <w:rPr>
                <w:rFonts w:hint="eastAsia" w:ascii="方正仿宋_GBK" w:eastAsia="方正仿宋_GBK"/>
                <w:szCs w:val="21"/>
              </w:rPr>
              <w:t>1</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ascii="方正仿宋_GBK" w:hAnsi="宋体" w:eastAsia="方正仿宋_GBK"/>
                <w:szCs w:val="21"/>
              </w:rPr>
            </w:pPr>
            <w:r>
              <w:rPr>
                <w:rFonts w:hint="eastAsia" w:ascii="方正仿宋_GBK" w:hAnsi="宋体" w:eastAsia="方正仿宋_GBK"/>
                <w:szCs w:val="21"/>
              </w:rPr>
              <w:t>全日制普通高校本科及以上学历并取得相应学位</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本科：临床医学；</w:t>
            </w:r>
          </w:p>
          <w:p>
            <w:pPr>
              <w:spacing w:line="280" w:lineRule="exact"/>
              <w:jc w:val="left"/>
              <w:rPr>
                <w:rFonts w:ascii="方正仿宋_GBK" w:hAnsi="宋体" w:eastAsia="方正仿宋_GBK" w:cs="宋体"/>
                <w:szCs w:val="21"/>
              </w:rPr>
            </w:pPr>
            <w:r>
              <w:rPr>
                <w:rFonts w:hint="eastAsia" w:ascii="方正仿宋_GBK" w:eastAsia="方正仿宋_GBK"/>
                <w:szCs w:val="21"/>
              </w:rPr>
              <w:t>研究生：内科学（呼吸内科方向）</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ascii="方正仿宋_GBK" w:eastAsia="方正仿宋_GBK"/>
                <w:szCs w:val="21"/>
              </w:rPr>
            </w:pPr>
            <w:r>
              <w:rPr>
                <w:rFonts w:hint="eastAsia" w:ascii="方正仿宋_GBK" w:eastAsia="方正仿宋_GBK"/>
                <w:szCs w:val="21"/>
              </w:rPr>
              <w:t>35周岁及以下</w:t>
            </w:r>
          </w:p>
        </w:tc>
        <w:tc>
          <w:tcPr>
            <w:tcW w:w="4535" w:type="dxa"/>
            <w:vMerge w:val="continue"/>
            <w:tcBorders>
              <w:left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ascii="宋体" w:hAnsi="宋体" w:cs="宋体"/>
                <w:kern w:val="0"/>
                <w:sz w:val="20"/>
                <w:szCs w:val="20"/>
              </w:rPr>
            </w:pPr>
          </w:p>
        </w:tc>
        <w:tc>
          <w:tcPr>
            <w:tcW w:w="1300"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ascii="宋体" w:hAnsi="宋体" w:cs="宋体"/>
                <w:kern w:val="0"/>
                <w:sz w:val="20"/>
                <w:szCs w:val="20"/>
              </w:rPr>
            </w:pPr>
          </w:p>
        </w:tc>
        <w:tc>
          <w:tcPr>
            <w:tcW w:w="96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widowControl/>
              <w:jc w:val="center"/>
              <w:textAlignment w:val="center"/>
              <w:rPr>
                <w:rFonts w:hint="eastAsia" w:ascii="方正仿宋_GBK" w:hAnsi="方正仿宋_GBK" w:eastAsia="方正仿宋_GBK" w:cs="方正仿宋_GBK"/>
                <w:sz w:val="20"/>
                <w:szCs w:val="20"/>
              </w:rPr>
            </w:pPr>
          </w:p>
        </w:tc>
      </w:tr>
      <w:tr>
        <w:tblPrEx>
          <w:tblCellMar>
            <w:top w:w="0" w:type="dxa"/>
            <w:left w:w="108" w:type="dxa"/>
            <w:bottom w:w="0" w:type="dxa"/>
            <w:right w:w="108" w:type="dxa"/>
          </w:tblCellMar>
        </w:tblPrEx>
        <w:trPr>
          <w:trHeight w:val="12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6</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eastAsia="方正仿宋_GBK"/>
                <w:szCs w:val="21"/>
              </w:rPr>
            </w:pPr>
            <w:r>
              <w:rPr>
                <w:rFonts w:hint="eastAsia" w:ascii="方正仿宋_GBK" w:eastAsia="方正仿宋_GBK"/>
                <w:szCs w:val="21"/>
              </w:rPr>
              <w:t>放疗技师</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eastAsia="方正仿宋_GBK"/>
                <w:szCs w:val="21"/>
              </w:rPr>
            </w:pPr>
            <w:r>
              <w:rPr>
                <w:rFonts w:hint="eastAsia" w:ascii="方正仿宋_GBK" w:eastAsia="方正仿宋_GBK"/>
                <w:szCs w:val="21"/>
              </w:rPr>
              <w:t>3</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szCs w:val="21"/>
              </w:rPr>
            </w:pPr>
            <w:r>
              <w:rPr>
                <w:rFonts w:hint="eastAsia" w:ascii="方正仿宋_GBK" w:hAnsi="宋体" w:eastAsia="方正仿宋_GBK"/>
                <w:szCs w:val="21"/>
              </w:rPr>
              <w:t>全日制普通高校本科及以上学历并取得相应学位</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r>
              <w:rPr>
                <w:rFonts w:hint="eastAsia" w:ascii="方正仿宋_GBK" w:eastAsia="方正仿宋_GBK"/>
                <w:szCs w:val="21"/>
              </w:rPr>
              <w:t xml:space="preserve">本科：医学影像学、医学影像技术、临床医学、生物医学工程；研究生：医学影像与核医学、生物医学工程； </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r>
              <w:rPr>
                <w:rFonts w:hint="eastAsia" w:ascii="方正仿宋_GBK"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rPr>
            </w:pPr>
            <w:r>
              <w:rPr>
                <w:rFonts w:hint="eastAsia"/>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jc w:val="left"/>
              <w:rPr>
                <w:rFonts w:hint="eastAsia" w:ascii="宋体" w:hAnsi="宋体" w:cs="宋体"/>
                <w:sz w:val="18"/>
                <w:szCs w:val="18"/>
              </w:rPr>
            </w:pPr>
            <w:r>
              <w:rPr>
                <w:rFonts w:hint="eastAsia" w:ascii="宋体" w:hAnsi="宋体" w:cs="宋体"/>
                <w:sz w:val="18"/>
                <w:szCs w:val="18"/>
              </w:rPr>
              <w:t>1.持有《LA技师上岗证》；</w:t>
            </w:r>
          </w:p>
          <w:p>
            <w:pPr>
              <w:jc w:val="left"/>
              <w:rPr>
                <w:rFonts w:hint="eastAsia" w:ascii="宋体" w:hAnsi="宋体" w:cs="宋体"/>
                <w:sz w:val="18"/>
                <w:szCs w:val="18"/>
              </w:rPr>
            </w:pPr>
            <w:r>
              <w:rPr>
                <w:rFonts w:hint="eastAsia" w:ascii="宋体" w:hAnsi="宋体" w:cs="宋体"/>
                <w:sz w:val="18"/>
                <w:szCs w:val="18"/>
              </w:rPr>
              <w:t>2.经过半年以上放疗技师岗位培训，取得合格证书。</w:t>
            </w:r>
          </w:p>
        </w:tc>
        <w:tc>
          <w:tcPr>
            <w:tcW w:w="70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textAlignment w:val="center"/>
              <w:rPr>
                <w:rFonts w:ascii="宋体" w:hAnsi="宋体" w:cs="宋体"/>
                <w:kern w:val="0"/>
                <w:sz w:val="20"/>
                <w:szCs w:val="20"/>
              </w:rPr>
            </w:pPr>
          </w:p>
        </w:tc>
        <w:tc>
          <w:tcPr>
            <w:tcW w:w="1300"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20"/>
                <w:szCs w:val="20"/>
              </w:rPr>
            </w:pPr>
          </w:p>
        </w:tc>
        <w:tc>
          <w:tcPr>
            <w:tcW w:w="968" w:type="dxa"/>
            <w:vMerge w:val="continue"/>
            <w:tcBorders>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ascii="方正仿宋_GBK" w:hAnsi="方正仿宋_GBK" w:eastAsia="方正仿宋_GBK" w:cs="方正仿宋_GBK"/>
                <w:sz w:val="20"/>
                <w:szCs w:val="20"/>
              </w:rPr>
            </w:pPr>
          </w:p>
        </w:tc>
      </w:tr>
      <w:tr>
        <w:tblPrEx>
          <w:tblCellMar>
            <w:top w:w="0" w:type="dxa"/>
            <w:left w:w="108" w:type="dxa"/>
            <w:bottom w:w="0" w:type="dxa"/>
            <w:right w:w="108" w:type="dxa"/>
          </w:tblCellMar>
        </w:tblPrEx>
        <w:trPr>
          <w:trHeight w:val="14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ascii="宋体" w:hAnsi="宋体" w:cs="宋体"/>
                <w:szCs w:val="21"/>
              </w:rPr>
            </w:pPr>
            <w:r>
              <w:rPr>
                <w:rFonts w:hint="eastAsia" w:ascii="宋体" w:hAnsi="宋体" w:cs="宋体"/>
                <w:szCs w:val="21"/>
              </w:rPr>
              <w:t>7</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cs="宋体"/>
                <w:szCs w:val="21"/>
              </w:rPr>
            </w:pPr>
            <w:r>
              <w:rPr>
                <w:rFonts w:hint="eastAsia" w:ascii="方正仿宋_GBK" w:eastAsia="方正仿宋_GBK"/>
                <w:szCs w:val="21"/>
              </w:rPr>
              <w:t>医务科</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cs="宋体"/>
                <w:szCs w:val="21"/>
              </w:rPr>
            </w:pPr>
            <w:r>
              <w:rPr>
                <w:rFonts w:hint="eastAsia" w:ascii="方正仿宋_GBK" w:eastAsia="方正仿宋_GBK"/>
                <w:szCs w:val="21"/>
              </w:rPr>
              <w:t>1</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cs="宋体"/>
                <w:szCs w:val="21"/>
              </w:rPr>
            </w:pPr>
            <w:r>
              <w:rPr>
                <w:rFonts w:hint="eastAsia" w:ascii="方正仿宋_GBK" w:hAnsi="宋体" w:eastAsia="方正仿宋_GBK"/>
                <w:szCs w:val="21"/>
              </w:rPr>
              <w:t>全日制普通高校本科及以上学历并取得相应学位</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r>
              <w:rPr>
                <w:rFonts w:hint="eastAsia" w:ascii="方正仿宋_GBK" w:eastAsia="方正仿宋_GBK"/>
                <w:szCs w:val="21"/>
              </w:rPr>
              <w:t>本科：临床医学类</w:t>
            </w:r>
          </w:p>
          <w:p>
            <w:pPr>
              <w:spacing w:line="280" w:lineRule="exact"/>
              <w:jc w:val="left"/>
              <w:rPr>
                <w:rFonts w:hint="eastAsia" w:ascii="方正仿宋_GBK" w:eastAsia="方正仿宋_GBK"/>
                <w:szCs w:val="21"/>
              </w:rPr>
            </w:pPr>
            <w:r>
              <w:rPr>
                <w:rFonts w:hint="eastAsia" w:ascii="方正仿宋_GBK" w:eastAsia="方正仿宋_GBK"/>
                <w:szCs w:val="21"/>
              </w:rPr>
              <w:t>研究生：临床医学类</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r>
              <w:rPr>
                <w:rFonts w:hint="eastAsia" w:ascii="方正仿宋_GBK"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rPr>
            </w:pPr>
            <w:r>
              <w:rPr>
                <w:rFonts w:hint="eastAsia"/>
                <w:sz w:val="20"/>
                <w:szCs w:val="20"/>
              </w:rPr>
              <w:t>35周岁及以下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jc w:val="left"/>
              <w:rPr>
                <w:rFonts w:hint="eastAsia" w:ascii="宋体" w:hAnsi="宋体" w:cs="宋体"/>
                <w:sz w:val="18"/>
                <w:szCs w:val="18"/>
              </w:rPr>
            </w:pPr>
          </w:p>
        </w:tc>
        <w:tc>
          <w:tcPr>
            <w:tcW w:w="708"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textAlignment w:val="center"/>
              <w:rPr>
                <w:rFonts w:ascii="宋体" w:hAnsi="宋体" w:cs="宋体"/>
                <w:kern w:val="0"/>
                <w:sz w:val="20"/>
                <w:szCs w:val="20"/>
              </w:rPr>
            </w:pPr>
            <w:r>
              <w:rPr>
                <w:rFonts w:hint="eastAsia" w:ascii="宋体" w:hAnsi="宋体" w:cs="宋体"/>
                <w:sz w:val="18"/>
                <w:szCs w:val="18"/>
              </w:rPr>
              <w:t>行政后勤岗位</w:t>
            </w:r>
          </w:p>
          <w:p>
            <w:pPr>
              <w:textAlignment w:val="center"/>
              <w:rPr>
                <w:rFonts w:ascii="宋体" w:hAnsi="宋体" w:cs="宋体"/>
                <w:kern w:val="0"/>
                <w:sz w:val="20"/>
                <w:szCs w:val="20"/>
              </w:rPr>
            </w:pPr>
          </w:p>
        </w:tc>
        <w:tc>
          <w:tcPr>
            <w:tcW w:w="130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20"/>
                <w:szCs w:val="20"/>
              </w:rPr>
            </w:pPr>
            <w:r>
              <w:rPr>
                <w:rFonts w:hint="eastAsia" w:ascii="宋体" w:hAnsi="宋体" w:cs="宋体"/>
                <w:kern w:val="0"/>
                <w:sz w:val="18"/>
                <w:szCs w:val="18"/>
              </w:rPr>
              <w:t>笔试考核*60%+面试考核*40%</w:t>
            </w:r>
          </w:p>
        </w:tc>
        <w:tc>
          <w:tcPr>
            <w:tcW w:w="968"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textAlignment w:val="center"/>
              <w:rPr>
                <w:rFonts w:hint="eastAsia" w:ascii="方正仿宋_GBK" w:hAnsi="方正仿宋_GBK" w:eastAsia="方正仿宋_GBK" w:cs="方正仿宋_GBK"/>
                <w:sz w:val="20"/>
                <w:szCs w:val="20"/>
              </w:rPr>
            </w:pPr>
            <w:r>
              <w:rPr>
                <w:rFonts w:hint="eastAsia" w:ascii="宋体" w:hAnsi="宋体" w:cs="宋体"/>
                <w:kern w:val="0"/>
                <w:sz w:val="18"/>
                <w:szCs w:val="18"/>
              </w:rPr>
              <w:t>综合基础知识（卫生类）详见附件2</w:t>
            </w:r>
          </w:p>
        </w:tc>
      </w:tr>
      <w:tr>
        <w:tblPrEx>
          <w:tblCellMar>
            <w:top w:w="0" w:type="dxa"/>
            <w:left w:w="108" w:type="dxa"/>
            <w:bottom w:w="0" w:type="dxa"/>
            <w:right w:w="108" w:type="dxa"/>
          </w:tblCellMar>
        </w:tblPrEx>
        <w:trPr>
          <w:trHeight w:val="127"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ascii="方正仿宋_GBK" w:hAnsi="宋体" w:eastAsia="方正仿宋_GBK"/>
                <w:szCs w:val="21"/>
              </w:rPr>
            </w:pPr>
            <w:r>
              <w:rPr>
                <w:rFonts w:hint="eastAsia" w:ascii="方正仿宋_GBK" w:hAnsi="宋体" w:eastAsia="方正仿宋_GBK"/>
                <w:szCs w:val="21"/>
              </w:rPr>
              <w:t>8</w:t>
            </w:r>
          </w:p>
        </w:tc>
        <w:tc>
          <w:tcPr>
            <w:tcW w:w="94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rPr>
                <w:rFonts w:hint="eastAsia" w:ascii="方正仿宋_GBK" w:hAnsi="宋体" w:eastAsia="方正仿宋_GBK"/>
                <w:szCs w:val="21"/>
              </w:rPr>
            </w:pPr>
            <w:r>
              <w:rPr>
                <w:rFonts w:hint="eastAsia" w:ascii="方正仿宋_GBK" w:hAnsi="宋体" w:eastAsia="方正仿宋_GBK"/>
                <w:szCs w:val="21"/>
              </w:rPr>
              <w:t>临床护理岗位</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center"/>
              <w:rPr>
                <w:rFonts w:ascii="方正仿宋_GBK" w:hAnsi="宋体" w:eastAsia="方正仿宋_GBK"/>
                <w:szCs w:val="21"/>
              </w:rPr>
            </w:pPr>
            <w:r>
              <w:rPr>
                <w:rFonts w:hint="eastAsia" w:ascii="方正仿宋_GBK" w:hAnsi="宋体" w:eastAsia="方正仿宋_GBK"/>
                <w:szCs w:val="21"/>
              </w:rPr>
              <w:t>31</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center"/>
              <w:rPr>
                <w:rFonts w:hint="eastAsia" w:ascii="方正仿宋_GBK" w:hAnsi="宋体" w:eastAsia="方正仿宋_GBK"/>
                <w:szCs w:val="21"/>
              </w:rPr>
            </w:pPr>
            <w:r>
              <w:rPr>
                <w:rFonts w:hint="eastAsia" w:ascii="方正仿宋_GBK" w:hAnsi="宋体" w:eastAsia="方正仿宋_GBK"/>
                <w:szCs w:val="21"/>
              </w:rPr>
              <w:t>全日制普通高校大专及以上学历</w:t>
            </w:r>
          </w:p>
        </w:tc>
        <w:tc>
          <w:tcPr>
            <w:tcW w:w="2410"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spacing w:line="280" w:lineRule="exact"/>
              <w:jc w:val="left"/>
              <w:rPr>
                <w:rFonts w:hint="eastAsia" w:ascii="方正仿宋_GBK" w:hAnsi="宋体" w:eastAsia="方正仿宋_GBK"/>
                <w:szCs w:val="21"/>
              </w:rPr>
            </w:pPr>
            <w:r>
              <w:rPr>
                <w:rFonts w:hint="eastAsia" w:ascii="方正仿宋_GBK" w:hAnsi="宋体" w:eastAsia="方正仿宋_GBK"/>
                <w:szCs w:val="21"/>
              </w:rPr>
              <w:t>专科：护理；本科：护理学；研究生：护理学，护理；</w:t>
            </w:r>
          </w:p>
        </w:tc>
        <w:tc>
          <w:tcPr>
            <w:tcW w:w="567"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spacing w:line="280" w:lineRule="exact"/>
              <w:jc w:val="left"/>
              <w:rPr>
                <w:rFonts w:hint="eastAsia" w:ascii="方正仿宋_GBK" w:eastAsia="方正仿宋_GBK"/>
                <w:szCs w:val="21"/>
              </w:rPr>
            </w:pPr>
            <w:r>
              <w:rPr>
                <w:rFonts w:hint="eastAsia" w:ascii="方正仿宋_GBK" w:eastAsia="方正仿宋_GBK"/>
                <w:szCs w:val="21"/>
              </w:rPr>
              <w:t>不限</w:t>
            </w:r>
          </w:p>
        </w:tc>
        <w:tc>
          <w:tcPr>
            <w:tcW w:w="852"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jc w:val="center"/>
              <w:rPr>
                <w:rFonts w:hint="eastAsia"/>
                <w:sz w:val="20"/>
                <w:szCs w:val="20"/>
              </w:rPr>
            </w:pPr>
            <w:r>
              <w:rPr>
                <w:rFonts w:hint="eastAsia"/>
                <w:sz w:val="20"/>
                <w:szCs w:val="20"/>
              </w:rPr>
              <w:t>30周岁及以下</w:t>
            </w:r>
          </w:p>
        </w:tc>
        <w:tc>
          <w:tcPr>
            <w:tcW w:w="4535" w:type="dxa"/>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rPr>
                <w:rFonts w:ascii="方正仿宋_GBK" w:eastAsia="方正仿宋_GBK"/>
                <w:szCs w:val="21"/>
              </w:rPr>
            </w:pPr>
            <w:r>
              <w:rPr>
                <w:rFonts w:hint="eastAsia" w:ascii="方正仿宋_GBK" w:eastAsia="方正仿宋_GBK"/>
                <w:szCs w:val="21"/>
              </w:rPr>
              <w:t>1.取得护士执业资格证书</w:t>
            </w:r>
          </w:p>
          <w:p>
            <w:pPr>
              <w:rPr>
                <w:rFonts w:ascii="方正仿宋_GBK" w:eastAsia="方正仿宋_GBK"/>
                <w:szCs w:val="21"/>
              </w:rPr>
            </w:pPr>
            <w:r>
              <w:rPr>
                <w:rFonts w:hint="eastAsia" w:ascii="方正仿宋_GBK" w:eastAsia="方正仿宋_GBK"/>
                <w:szCs w:val="21"/>
              </w:rPr>
              <w:t>2.高中起点</w:t>
            </w:r>
          </w:p>
        </w:tc>
        <w:tc>
          <w:tcPr>
            <w:tcW w:w="708" w:type="dxa"/>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textAlignment w:val="center"/>
              <w:rPr>
                <w:rFonts w:hint="eastAsia" w:ascii="宋体" w:hAnsi="宋体" w:cs="宋体"/>
                <w:kern w:val="0"/>
                <w:sz w:val="20"/>
                <w:szCs w:val="20"/>
                <w:lang w:bidi="ar"/>
              </w:rPr>
            </w:pPr>
            <w:r>
              <w:rPr>
                <w:rFonts w:hint="eastAsia" w:ascii="宋体" w:hAnsi="宋体" w:cs="宋体"/>
                <w:kern w:val="0"/>
                <w:sz w:val="20"/>
                <w:szCs w:val="20"/>
                <w:lang w:bidi="ar"/>
              </w:rPr>
              <w:t>护理岗位</w:t>
            </w:r>
          </w:p>
        </w:tc>
        <w:tc>
          <w:tcPr>
            <w:tcW w:w="1300" w:type="dxa"/>
            <w:tcBorders>
              <w:top w:val="single" w:color="auto" w:sz="4" w:space="0"/>
              <w:left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宋体" w:hAnsi="宋体" w:cs="宋体"/>
                <w:kern w:val="0"/>
                <w:sz w:val="20"/>
                <w:szCs w:val="20"/>
                <w:lang w:bidi="ar"/>
              </w:rPr>
            </w:pPr>
            <w:r>
              <w:rPr>
                <w:rFonts w:hint="eastAsia" w:ascii="宋体" w:hAnsi="宋体" w:cs="宋体"/>
                <w:sz w:val="18"/>
                <w:szCs w:val="18"/>
              </w:rPr>
              <w:t>笔试考核*40%+</w:t>
            </w:r>
            <w:r>
              <w:rPr>
                <w:rFonts w:hint="eastAsia" w:ascii="宋体" w:hAnsi="宋体" w:cs="宋体"/>
                <w:kern w:val="0"/>
                <w:sz w:val="18"/>
                <w:szCs w:val="18"/>
                <w:lang w:bidi="ar"/>
              </w:rPr>
              <w:t>专业考核*40%+面试考核*20%</w:t>
            </w:r>
          </w:p>
        </w:tc>
        <w:tc>
          <w:tcPr>
            <w:tcW w:w="968"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jc w:val="center"/>
              <w:textAlignment w:val="center"/>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护理基础知识</w:t>
            </w:r>
          </w:p>
        </w:tc>
      </w:tr>
      <w:tr>
        <w:tblPrEx>
          <w:tblCellMar>
            <w:top w:w="0" w:type="dxa"/>
            <w:left w:w="108" w:type="dxa"/>
            <w:bottom w:w="0" w:type="dxa"/>
            <w:right w:w="108" w:type="dxa"/>
          </w:tblCellMar>
        </w:tblPrEx>
        <w:trPr>
          <w:trHeight w:val="90" w:hRule="atLeast"/>
        </w:trPr>
        <w:tc>
          <w:tcPr>
            <w:tcW w:w="1512" w:type="dxa"/>
            <w:gridSpan w:val="2"/>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widowControl/>
              <w:jc w:val="center"/>
              <w:textAlignment w:val="center"/>
              <w:rPr>
                <w:rFonts w:ascii="宋体" w:hAnsi="宋体" w:cs="宋体"/>
                <w:b/>
                <w:color w:val="000000"/>
                <w:kern w:val="0"/>
                <w:sz w:val="32"/>
                <w:szCs w:val="32"/>
              </w:rPr>
            </w:pPr>
            <w:r>
              <w:rPr>
                <w:rFonts w:hint="eastAsia" w:ascii="宋体" w:hAnsi="宋体" w:cs="宋体"/>
                <w:b/>
                <w:color w:val="000000"/>
                <w:kern w:val="0"/>
                <w:sz w:val="32"/>
                <w:szCs w:val="32"/>
              </w:rPr>
              <w:t>合计</w:t>
            </w:r>
          </w:p>
        </w:tc>
        <w:tc>
          <w:tcPr>
            <w:tcW w:w="615" w:type="dxa"/>
            <w:tcBorders>
              <w:top w:val="single" w:color="auto" w:sz="4" w:space="0"/>
              <w:left w:val="single" w:color="auto" w:sz="4" w:space="0"/>
              <w:bottom w:val="single" w:color="auto" w:sz="4" w:space="0"/>
              <w:right w:val="single" w:color="auto" w:sz="4" w:space="0"/>
            </w:tcBorders>
            <w:shd w:val="clear" w:color="auto" w:fill="auto"/>
            <w:noWrap w:val="0"/>
            <w:tcMar>
              <w:top w:w="15" w:type="dxa"/>
              <w:left w:w="15" w:type="dxa"/>
              <w:bottom w:w="15" w:type="dxa"/>
              <w:right w:w="15" w:type="dxa"/>
            </w:tcMar>
            <w:vAlign w:val="center"/>
          </w:tcPr>
          <w:p>
            <w:pPr>
              <w:widowControl/>
              <w:jc w:val="center"/>
              <w:textAlignment w:val="center"/>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rPr>
              <w:t>4</w:t>
            </w:r>
            <w:r>
              <w:rPr>
                <w:rFonts w:hint="eastAsia" w:ascii="宋体" w:hAnsi="宋体" w:cs="宋体"/>
                <w:b/>
                <w:color w:val="000000"/>
                <w:kern w:val="0"/>
                <w:sz w:val="32"/>
                <w:szCs w:val="32"/>
                <w:lang w:val="en-US" w:eastAsia="zh-CN"/>
              </w:rPr>
              <w:t>1</w:t>
            </w:r>
          </w:p>
        </w:tc>
        <w:tc>
          <w:tcPr>
            <w:tcW w:w="13182" w:type="dxa"/>
            <w:gridSpan w:val="8"/>
            <w:tcBorders>
              <w:top w:val="single" w:color="auto" w:sz="4" w:space="0"/>
              <w:left w:val="single" w:color="auto" w:sz="4" w:space="0"/>
              <w:bottom w:val="single" w:color="auto" w:sz="4" w:space="0"/>
              <w:right w:val="single" w:color="auto" w:sz="4" w:space="0"/>
            </w:tcBorders>
            <w:shd w:val="clear" w:color="auto" w:fill="FFFFFF"/>
            <w:noWrap w:val="0"/>
            <w:tcMar>
              <w:top w:w="15" w:type="dxa"/>
              <w:left w:w="15" w:type="dxa"/>
              <w:bottom w:w="15" w:type="dxa"/>
              <w:right w:w="15" w:type="dxa"/>
            </w:tcMar>
            <w:vAlign w:val="center"/>
          </w:tcPr>
          <w:p>
            <w:pPr>
              <w:widowControl/>
              <w:jc w:val="center"/>
              <w:textAlignment w:val="center"/>
              <w:rPr>
                <w:rFonts w:ascii="宋体" w:hAnsi="宋体" w:cs="宋体"/>
                <w:b/>
                <w:color w:val="000000"/>
                <w:kern w:val="0"/>
                <w:sz w:val="32"/>
                <w:szCs w:val="32"/>
              </w:rPr>
            </w:pPr>
            <w:r>
              <w:rPr>
                <w:rFonts w:hint="eastAsia" w:ascii="宋体" w:hAnsi="宋体" w:cs="宋体"/>
                <w:b/>
                <w:color w:val="000000"/>
                <w:kern w:val="0"/>
                <w:sz w:val="32"/>
                <w:szCs w:val="32"/>
              </w:rPr>
              <w:t>备注：年龄计算截止日期为报名前一日。报名咨询电话：谭老师（023-42827143）</w:t>
            </w:r>
          </w:p>
        </w:tc>
      </w:tr>
    </w:tbl>
    <w:p>
      <w:pPr>
        <w:widowControl/>
        <w:spacing w:line="560" w:lineRule="exact"/>
        <w:jc w:val="center"/>
        <w:rPr>
          <w:rFonts w:hint="eastAsia" w:ascii="方正小标宋_GBK" w:hAnsi="方正小标宋_GBK" w:eastAsia="方正小标宋_GBK" w:cs="方正小标宋_GBK"/>
          <w:sz w:val="36"/>
          <w:szCs w:val="36"/>
        </w:rPr>
      </w:pPr>
    </w:p>
    <w:p>
      <w:pPr>
        <w:widowControl/>
        <w:spacing w:line="560" w:lineRule="exact"/>
        <w:rPr>
          <w:rFonts w:ascii="方正仿宋_GBK" w:hAnsi="Helvetica" w:eastAsia="方正仿宋_GBK" w:cs="宋体"/>
          <w:color w:val="000000"/>
          <w:kern w:val="0"/>
          <w:sz w:val="24"/>
          <w:szCs w:val="24"/>
        </w:rPr>
        <w:sectPr>
          <w:pgSz w:w="16838" w:h="11906" w:orient="landscape"/>
          <w:pgMar w:top="1803" w:right="1440" w:bottom="1803" w:left="1440" w:header="851" w:footer="992" w:gutter="0"/>
          <w:cols w:space="720" w:num="1"/>
          <w:docGrid w:type="lines" w:linePitch="319"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jZDc1MDNlZGExMjZhMTM4NTI1NTA3ZDY5YTBlOWQifQ=="/>
  </w:docVars>
  <w:rsids>
    <w:rsidRoot w:val="4FB7151B"/>
    <w:rsid w:val="4FB71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2022-12-27T09:21:00Z</dcterms:created>
  <dc:creator>谭婉</dc:creator>
  <cp:lastModifiedBy>谭婉</cp:lastModifiedBy>
  <dcterms:modified xsi:type="dcterms:W3CDTF">2022-12-27T09:21:53Z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5D2AC8900FA540CB95D4EC1153BCFE02</vt:lpwstr>
  </property>
</Properties>
</file>