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附件</w:t>
      </w:r>
      <w:r>
        <w:rPr>
          <w:rFonts w:hint="eastAsia" w:ascii="仿宋_GB2312" w:hAnsi="仿宋_GB2312" w:eastAsia="仿宋_GB2312" w:cs="仿宋_GB2312"/>
          <w:sz w:val="28"/>
          <w:szCs w:val="28"/>
          <w:lang w:val="en-US" w:eastAsia="zh-CN"/>
        </w:rPr>
        <w:t>4：</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贵州省2022年人事考试新冠肺炎疫情防控要求(第六版）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凡报名参加由贵州省人力资源和社会保障厅考试院（贵州省公务员考试测评中心）组织实施的2022年各项人事考试的考生，须严格遵守贵州省2022年人事考试新冠肺炎疫情防控要求（第六版）。网上报名时，须认真阅读相关考试的公告、通知等文件，并在网上报名系统中签署新冠肺炎疫情防控告知暨承诺书，承诺已知悉告知事项和防疫要求，自愿承担因不实承诺应承担的相关责任、接受相应处理。考试全过程，考生应自觉接受工作人员检查，如实报告个人情况，主动出示疫情防控检查所需的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如有违法情况的，将依法追究其法律责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一、疫情防控要求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根据国务院联防联控机制综合组印发《新型冠状病毒肺炎防控方案（第九版）》和贵州省最新疫情防控规定，对参加贵州省各项人事考试的考生防疫要求如下：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（一）不符合国家、省、市（州）有关疫情防控要求，不遵守有关疫情防控规定的人员不得进入考点参加考试。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（二）处于康复或隔离期的病例、无症状感染者不得进入考点参加考试。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（三）未解除隔离的疑似病例、确诊病例以及无症状感染者的密切接触者不得进入考点参加考试。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（四）处于集中隔离、居家隔离、居家健康监测期间的人员不得进入考点参加考试。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（五）对流动、出行须报备并提供相应证明材料的人员，未按要求报备或未按要求提供相应证明材料的不得进入考点参加考试。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（六）考试当天，经现场医务人员评估有可疑症状且不能排除新冠感染的考生，应配合工作人员按卫生健康部门要求到相应医院就诊，不得进入考点参加考试。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（七）境外来（返）黔人员，未完成“7天集中隔离+3天居家健康监测+6次核酸检测”的，未达到解除条件的考生不得进入考点参加考试。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（八）考前7天内有中高风险区旅居史的考生，不得进入考点参加考试。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（九）原则上所有考生均须按照“应接尽接、应接必接”的要求完成新冠疫苗全程接种及加强免疫。</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（十）省外疫情重点地区入黔人员，抵黔后未完成“3天集中隔离+4天居家健康监测+5次核酸检测”的，不得进入考点参加考试。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阶段，省外疫情重点地区为西藏自治区，新疆维吾尔自治区，宁夏回族自治区，内蒙古呼和浩特市和包头市，陕西西安市和渭南市，山西运城市和大同市，云南西双版纳州和德宏州，四川泸州市、南充市和成都市武侯区，重庆市渝北区和沙坪坝区，湖南湘西州，湖北武汉市，广东广州花都区和深圳宝安区、福田区、南山区。有关单位将根据全国疫情最新形势，及时研判确定疫情重点地区范围，并适时调整管控措施。</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一）除疫情重点地区和中高风险区外，省外其他有本土疫情报告且存在社区传播风险的地级市（以下简称其他涉疫地区）入黔人员，抵黔后未完成“3天居家健康监测+3次核酸检测”的，不得进入考点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（十二）除疫情重点地区、中高风险区和其他涉疫地区外，省外其他地区入黔人员，抵黔后未完成“三天三检”的，不得进入考点参加考试。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（十三）考生应自备一次性使用医用口罩。考试期间，除核验身份时，考生应全程规范佩戴一次性使用医用口罩。未按要求佩戴口罩的考生，不得进入考点参加考试。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四）省内有疫情发生的县（市、区、特区）低风险区考生，根据属地疫情防控指挥部的要求，非必要不离开本区域，如可跨区的，须持48小时内核酸检测阴性证明和贵州健康码“绿码”有序通行；抵达目的地后，主动配合目的地疫情防控部门完成各项防疫措施。未落实目的地防疫措施的考生，不得进入考点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五）省内无疫情发生的县（市、区、特区）考生在跨区考试时，可持48小时内核酸检测阴性证明和贵州健康码“绿码”有序通行；抵达目的地后，主动配合完成目的地防疫要求，落实完成相关防疫措施。未落实目的地防疫措施的考生，不得进入考点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（十六）除符合其他防疫要求外，所有考生均须提供贵州省内考前48小时内1次核酸检测阴性证明，方可进入考点参加考试。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按规定需执行“3天集中隔离+4天居家健康监测+5次核酸检测”、“3天居家健康监测”、“三天三检”的人员，最后1次核酸检测在考前48小时内的，无需重复检测。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在连续两天举行的我省人事考试中，考生提供第1天考试时符合规定的核酸检测阴性证明即可。</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确保入场检测进度，考生可提供纸质版核酸检测阴性证明（检测机构出具的纸质证明或电子证明的打印件均可）；可通过“贵州健康码”首页“核酸检测结果”栏查询；也可通过“贵州核酸检测”小程序查询，请考生入场前提前打开。</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七）各科目开考前100分钟，考生即可开始接受检测进入考点，但不能进入考场。考生应尽早到达考点，提前做好入场检测准备，确保入场检测时间充足、秩序良好。不符合入场检测规定的考生，不得进入考点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八）多科目考试的，上一科目考试结束后，外出重新进入考点人员，须再次接受入场检测。请考生及时用餐（建议自带餐食），按时返回考点接受检测入场，避免耽误时间影响考试。每科目考试结束，考生要按指令有序离场，废弃口罩应自行带走或放到指定垃圾桶，不得随意丢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九）除考生和工作人员外，无关人员一律不得进入考点。除考试相关公务车辆和工作人员车辆外，社会车辆不得进入考点。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十）为确保顺利参加考试，建议考生关注“国务院客户端”微信公众号，在“便民服务”栏里点击“各地防控政策”选择“出发地”和“目的地”，及时了解各地的防控政策；建议考生提前做好个人健康申报、提前进行自我健康状况监测和“贵州健康码”核验（以免进入考点时扫“场所码”提示异常），若“贵州健康码”与本人状况不符，请立即咨询并及时按要求处置；建议考生提前抵达考点所在市（州），为落实完成当地疫情防控部门防疫措施和相应的核酸检测次数预留足够时间；考生可关注贵州省卫生健康委官方网站、官方微信公众号及各市（州）卫生健康部门相关网站，及时查询最新疫情防控要求和疫情重点地区名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贵州省疫情防控咨询电话：0851-12345。</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二、入场检测规定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入场检测时，考生须同时符合以下全部要求，方可进入考点参加考试：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（一）扫“场所码”提示“绿码正常通行”；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（二）经检测体温正常（低于37.3℃）；</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（三）佩戴一次性使用医用口罩；</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（四）提供贵州省内考前48小时内1次核酸检测阴性证明。</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三、入场检测步骤</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生须佩戴一次性使用医用口罩提前到达检测点排队，在入场检测处现场扫“场所码”，并将扫码后显示的“绿码正常通行”页面、“贵州省内考前48小时内1次核酸检测阴性证明”、《准考证》交检测人员核验并接受体温检测。经检测合格的，检测人员在《准考证》上加盖入场检测合格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入场检测中不符合疫情防控要求的考生，须立即进入临时隔离检查点接受考点防疫和医务人员检查。对符合其他疫情防控要求，但体温≥37.3℃的考生，间隔15分钟后，由现场防疫和医务人员使用水银体温计进行体温复测，经复测体温正常（低于37.3℃）的，可参加考试。经复测体温仍≥37.3℃的，不得进入考点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四、《贵州省2022年人事考试新冠肺炎疫情防控要求（第五版）》停止使用。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考生须符合本文规定的可以参加考试的情形，并在考试全过程中严格遵守国家、省、市（州）有关疫情防控规定以及本文要求，因不符合或不遵守疫情防控规定和要求造成的一切后果由考生自行负责。若考试前国家、省、市（州）关于疫情防控的规定发生变化，将根据新规定另行公布考试有关疫情防控要求。请广大考生务必在考试前密切关注有关疫情防控规定和要求的变化，做好相应的参考准备，确保顺利参加考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p>
    <w:p>
      <w:pPr>
        <w:keepNext w:val="0"/>
        <w:keepLines w:val="0"/>
        <w:widowControl w:val="0"/>
        <w:suppressLineNumbers w:val="0"/>
        <w:autoSpaceDE w:val="0"/>
        <w:autoSpaceDN/>
        <w:spacing w:before="0" w:beforeAutospacing="0" w:after="0" w:afterAutospacing="0" w:line="560" w:lineRule="exact"/>
        <w:ind w:right="0" w:rightChars="0"/>
        <w:jc w:val="both"/>
        <w:rPr>
          <w:rFonts w:hint="default" w:ascii="仿宋_GB2312" w:hAnsi="Times New Roman" w:eastAsia="仿宋_GB2312" w:cs="仿宋_GB2312"/>
          <w:color w:val="auto"/>
          <w:kern w:val="2"/>
          <w:sz w:val="32"/>
          <w:szCs w:val="32"/>
          <w:lang w:val="en-US" w:eastAsia="zh-CN" w:bidi="ar"/>
        </w:rPr>
      </w:pPr>
      <w:r>
        <w:rPr>
          <w:rFonts w:hint="eastAsia" w:ascii="仿宋_GB2312" w:hAnsi="Times New Roman" w:eastAsia="仿宋_GB2312" w:cs="仿宋_GB2312"/>
          <w:color w:val="auto"/>
          <w:kern w:val="2"/>
          <w:sz w:val="32"/>
          <w:szCs w:val="32"/>
          <w:lang w:val="en-US" w:eastAsia="zh-CN" w:bidi="ar"/>
        </w:rPr>
        <w:t>附件4-</w:t>
      </w:r>
      <w:r>
        <w:rPr>
          <w:rFonts w:hint="eastAsia" w:ascii="仿宋_GB2312" w:hAnsi="Times New Roman" w:cs="仿宋_GB2312"/>
          <w:color w:val="auto"/>
          <w:kern w:val="2"/>
          <w:sz w:val="32"/>
          <w:szCs w:val="32"/>
          <w:lang w:val="en-US" w:eastAsia="zh-CN" w:bidi="ar"/>
        </w:rPr>
        <w:t>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pacing w:val="-22"/>
          <w:sz w:val="36"/>
          <w:szCs w:val="36"/>
          <w:lang w:val="en-US" w:eastAsia="zh-CN"/>
        </w:rPr>
      </w:pPr>
      <w:r>
        <w:rPr>
          <w:rFonts w:hint="eastAsia" w:ascii="方正小标宋简体" w:hAnsi="方正小标宋简体" w:eastAsia="方正小标宋简体" w:cs="方正小标宋简体"/>
          <w:color w:val="auto"/>
          <w:spacing w:val="-22"/>
          <w:sz w:val="36"/>
          <w:szCs w:val="36"/>
          <w:lang w:val="en-US" w:eastAsia="zh-CN"/>
        </w:rPr>
        <w:t>贵州省2022年人事考试新冠肺炎疫情防控要求（第六版）</w:t>
      </w:r>
    </w:p>
    <w:p>
      <w:pPr>
        <w:pStyle w:val="2"/>
        <w:jc w:val="center"/>
        <w:rPr>
          <w:rFonts w:hint="eastAsia"/>
          <w:lang w:val="en-US" w:eastAsia="zh-CN"/>
        </w:rPr>
      </w:pPr>
      <w:r>
        <w:rPr>
          <w:rFonts w:hint="eastAsia" w:ascii="方正小标宋简体" w:hAnsi="方正小标宋简体" w:eastAsia="方正小标宋简体" w:cs="方正小标宋简体"/>
          <w:color w:val="auto"/>
          <w:sz w:val="36"/>
          <w:szCs w:val="36"/>
          <w:lang w:val="en-US" w:eastAsia="zh-CN"/>
        </w:rPr>
        <w:t>部分常见问题解答</w:t>
      </w:r>
    </w:p>
    <w:p>
      <w:pPr>
        <w:keepNext w:val="0"/>
        <w:keepLines w:val="0"/>
        <w:widowControl w:val="0"/>
        <w:suppressLineNumbers w:val="0"/>
        <w:autoSpaceDE w:val="0"/>
        <w:autoSpaceDN/>
        <w:spacing w:before="0" w:beforeAutospacing="0" w:after="0" w:afterAutospacing="0" w:line="560" w:lineRule="exact"/>
        <w:ind w:left="0" w:leftChars="0" w:right="0" w:rightChars="0" w:firstLine="0" w:firstLineChars="0"/>
        <w:jc w:val="both"/>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lang w:val="en-US" w:eastAsia="zh-CN" w:bidi="ar"/>
        </w:rPr>
        <w:t xml:space="preserve"> </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黑体" w:cs="Times New Roman"/>
          <w:color w:val="auto"/>
          <w:kern w:val="2"/>
          <w:sz w:val="32"/>
          <w:szCs w:val="32"/>
        </w:rPr>
      </w:pPr>
      <w:r>
        <w:rPr>
          <w:rFonts w:hint="eastAsia" w:ascii="黑体" w:hAnsi="宋体" w:eastAsia="黑体" w:cs="黑体"/>
          <w:color w:val="auto"/>
          <w:kern w:val="2"/>
          <w:sz w:val="32"/>
          <w:szCs w:val="32"/>
          <w:lang w:val="en-US" w:eastAsia="zh-CN" w:bidi="ar"/>
        </w:rPr>
        <w:t>一、参加考试是否需要提供核酸检测阴性证明？</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eastAsia" w:ascii="仿宋_GB2312" w:hAnsi="Times New Roman" w:eastAsia="仿宋_GB2312" w:cs="仿宋_GB2312"/>
          <w:color w:val="auto"/>
          <w:kern w:val="2"/>
          <w:sz w:val="32"/>
          <w:szCs w:val="32"/>
          <w:lang w:val="en-US" w:eastAsia="zh-CN" w:bidi="ar"/>
        </w:rPr>
      </w:pPr>
      <w:r>
        <w:rPr>
          <w:rFonts w:hint="eastAsia" w:ascii="仿宋_GB2312" w:hAnsi="Times New Roman" w:eastAsia="仿宋_GB2312" w:cs="仿宋_GB2312"/>
          <w:color w:val="auto"/>
          <w:kern w:val="2"/>
          <w:sz w:val="32"/>
          <w:szCs w:val="32"/>
          <w:lang w:val="en-US" w:eastAsia="zh-CN" w:bidi="ar"/>
        </w:rPr>
        <w:t>答：凡防疫要求按贵州省2022年人事考试新冠肺炎疫情防控要求（第六版）执行的考试，</w:t>
      </w:r>
      <w:r>
        <w:rPr>
          <w:rFonts w:hint="eastAsia" w:ascii="仿宋_GB2312" w:hAnsi="Calibri" w:eastAsia="仿宋_GB2312" w:cs="仿宋_GB2312"/>
          <w:color w:val="auto"/>
          <w:kern w:val="2"/>
          <w:sz w:val="32"/>
          <w:szCs w:val="32"/>
          <w:lang w:val="en-US" w:eastAsia="zh-CN" w:bidi="ar"/>
        </w:rPr>
        <w:t>所有考生必须在进入考点时提供</w:t>
      </w:r>
      <w:r>
        <w:rPr>
          <w:rFonts w:hint="eastAsia" w:ascii="黑体" w:hAnsi="黑体" w:eastAsia="黑体" w:cs="黑体"/>
          <w:b/>
          <w:bCs/>
          <w:color w:val="auto"/>
          <w:kern w:val="2"/>
          <w:sz w:val="32"/>
          <w:szCs w:val="32"/>
          <w:lang w:val="en-US" w:eastAsia="zh-CN" w:bidi="ar"/>
        </w:rPr>
        <w:t>贵州省内考前48小时内1次核酸检测阴性证明</w:t>
      </w:r>
      <w:r>
        <w:rPr>
          <w:rFonts w:hint="eastAsia" w:ascii="仿宋_GB2312" w:hAnsi="Calibri" w:eastAsia="仿宋_GB2312" w:cs="仿宋_GB2312"/>
          <w:color w:val="auto"/>
          <w:kern w:val="2"/>
          <w:sz w:val="32"/>
          <w:szCs w:val="32"/>
          <w:lang w:val="en-US" w:eastAsia="zh-CN" w:bidi="ar"/>
        </w:rPr>
        <w:t>。</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eastAsia" w:ascii="黑体" w:hAnsi="宋体" w:eastAsia="黑体" w:cs="黑体"/>
          <w:color w:val="auto"/>
          <w:kern w:val="2"/>
          <w:sz w:val="32"/>
          <w:szCs w:val="32"/>
        </w:rPr>
      </w:pPr>
      <w:r>
        <w:rPr>
          <w:rFonts w:hint="eastAsia" w:ascii="黑体" w:hAnsi="宋体" w:eastAsia="黑体" w:cs="黑体"/>
          <w:color w:val="auto"/>
          <w:kern w:val="2"/>
          <w:sz w:val="32"/>
          <w:szCs w:val="32"/>
          <w:lang w:val="en-US" w:eastAsia="zh-CN" w:bidi="ar"/>
        </w:rPr>
        <w:t>二、考前</w:t>
      </w:r>
      <w:r>
        <w:rPr>
          <w:rFonts w:hint="default" w:ascii="Times New Roman" w:hAnsi="Times New Roman" w:eastAsia="黑体" w:cs="Times New Roman"/>
          <w:color w:val="auto"/>
          <w:kern w:val="2"/>
          <w:sz w:val="32"/>
          <w:szCs w:val="32"/>
          <w:lang w:val="en-US" w:eastAsia="zh-CN" w:bidi="ar"/>
        </w:rPr>
        <w:t>48</w:t>
      </w:r>
      <w:r>
        <w:rPr>
          <w:rFonts w:hint="eastAsia" w:ascii="黑体" w:hAnsi="宋体" w:eastAsia="黑体" w:cs="黑体"/>
          <w:color w:val="auto"/>
          <w:kern w:val="2"/>
          <w:sz w:val="32"/>
          <w:szCs w:val="32"/>
          <w:lang w:val="en-US" w:eastAsia="zh-CN" w:bidi="ar"/>
        </w:rPr>
        <w:t>小时内核酸检测</w:t>
      </w:r>
      <w:r>
        <w:rPr>
          <w:rFonts w:hint="eastAsia" w:ascii="黑体" w:hAnsi="宋体" w:eastAsia="黑体" w:cs="黑体"/>
          <w:color w:val="auto"/>
          <w:kern w:val="2"/>
          <w:sz w:val="32"/>
          <w:szCs w:val="32"/>
          <w:highlight w:val="none"/>
          <w:lang w:val="en-US" w:eastAsia="zh-CN" w:bidi="ar"/>
        </w:rPr>
        <w:t>阴性报告起止时间计算方式是</w:t>
      </w:r>
      <w:r>
        <w:rPr>
          <w:rFonts w:hint="eastAsia" w:ascii="黑体" w:hAnsi="宋体" w:eastAsia="黑体" w:cs="黑体"/>
          <w:color w:val="auto"/>
          <w:kern w:val="2"/>
          <w:sz w:val="32"/>
          <w:szCs w:val="32"/>
          <w:lang w:val="en-US" w:eastAsia="zh-CN" w:bidi="ar"/>
        </w:rPr>
        <w:t>什么？</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eastAsia" w:ascii="仿宋_GB2312" w:hAnsi="Calibri" w:eastAsia="仿宋_GB2312" w:cs="仿宋_GB2312"/>
          <w:color w:val="auto"/>
          <w:kern w:val="2"/>
          <w:sz w:val="32"/>
          <w:szCs w:val="32"/>
          <w:lang w:val="en-US" w:eastAsia="zh-CN" w:bidi="ar"/>
        </w:rPr>
      </w:pPr>
      <w:r>
        <w:rPr>
          <w:rFonts w:hint="eastAsia" w:ascii="仿宋_GB2312" w:hAnsi="Calibri" w:eastAsia="仿宋_GB2312" w:cs="仿宋_GB2312"/>
          <w:color w:val="auto"/>
          <w:kern w:val="2"/>
          <w:sz w:val="32"/>
          <w:szCs w:val="32"/>
          <w:lang w:val="en-US" w:eastAsia="zh-CN" w:bidi="ar"/>
        </w:rPr>
        <w:t>答:</w:t>
      </w:r>
      <w:r>
        <w:rPr>
          <w:rFonts w:hint="eastAsia" w:ascii="仿宋_GB2312" w:hAnsi="仿宋_GB2312" w:eastAsia="仿宋_GB2312" w:cs="仿宋_GB2312"/>
          <w:color w:val="auto"/>
          <w:sz w:val="32"/>
          <w:szCs w:val="32"/>
          <w:highlight w:val="none"/>
        </w:rPr>
        <w:t>以</w:t>
      </w:r>
      <w:r>
        <w:rPr>
          <w:rFonts w:hint="eastAsia" w:ascii="仿宋_GB2312" w:hAnsi="仿宋_GB2312" w:eastAsia="仿宋_GB2312" w:cs="仿宋_GB2312"/>
          <w:color w:val="auto"/>
          <w:sz w:val="32"/>
          <w:szCs w:val="32"/>
          <w:highlight w:val="none"/>
          <w:lang w:val="en-US" w:eastAsia="zh-CN"/>
        </w:rPr>
        <w:t>考生</w:t>
      </w:r>
      <w:r>
        <w:rPr>
          <w:rFonts w:hint="eastAsia" w:ascii="仿宋_GB2312" w:hAnsi="仿宋_GB2312" w:eastAsia="仿宋_GB2312" w:cs="仿宋_GB2312"/>
          <w:color w:val="auto"/>
          <w:sz w:val="32"/>
          <w:szCs w:val="32"/>
          <w:highlight w:val="none"/>
        </w:rPr>
        <w:t>核酸检测阴性报告中“报告时间”为起始，计算至考生参加当次考试的首科考试开考时间为止，凡在48小时内的均符合要求。</w:t>
      </w:r>
      <w:r>
        <w:rPr>
          <w:rFonts w:hint="eastAsia" w:ascii="仿宋_GB2312" w:hAnsi="Calibri" w:eastAsia="仿宋_GB2312" w:cs="仿宋_GB2312"/>
          <w:color w:val="auto"/>
          <w:kern w:val="2"/>
          <w:sz w:val="32"/>
          <w:szCs w:val="32"/>
          <w:lang w:val="en-US" w:eastAsia="zh-CN" w:bidi="ar"/>
        </w:rPr>
        <w:t>（以下均按本方式计算核酸检测起止时间）</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黑体" w:cs="Times New Roman"/>
          <w:color w:val="auto"/>
          <w:kern w:val="2"/>
          <w:sz w:val="32"/>
          <w:szCs w:val="32"/>
        </w:rPr>
      </w:pPr>
      <w:r>
        <w:rPr>
          <w:rFonts w:hint="eastAsia" w:ascii="黑体" w:hAnsi="宋体" w:eastAsia="黑体" w:cs="黑体"/>
          <w:color w:val="auto"/>
          <w:kern w:val="2"/>
          <w:sz w:val="32"/>
          <w:szCs w:val="32"/>
          <w:lang w:val="en-US" w:eastAsia="zh-CN" w:bidi="ar"/>
        </w:rPr>
        <w:t>三、疫情重点地区名单在哪里查看？</w:t>
      </w:r>
    </w:p>
    <w:p>
      <w:pPr>
        <w:keepNext w:val="0"/>
        <w:keepLines w:val="0"/>
        <w:widowControl/>
        <w:suppressLineNumbers w:val="0"/>
        <w:autoSpaceDE w:val="0"/>
        <w:autoSpaceDN/>
        <w:spacing w:before="0" w:beforeAutospacing="0" w:after="0" w:afterAutospacing="0" w:line="560" w:lineRule="exact"/>
        <w:ind w:left="0" w:leftChars="0" w:right="0" w:rightChars="0" w:firstLine="627" w:firstLineChars="196"/>
        <w:jc w:val="both"/>
        <w:rPr>
          <w:rFonts w:hint="eastAsia" w:ascii="仿宋_GB2312" w:hAnsi="仿宋_GB2312" w:eastAsia="仿宋_GB2312" w:cs="仿宋_GB2312"/>
          <w:color w:val="auto"/>
          <w:sz w:val="32"/>
          <w:szCs w:val="32"/>
          <w:highlight w:val="none"/>
          <w:lang w:eastAsia="zh-CN"/>
        </w:rPr>
      </w:pPr>
      <w:r>
        <w:rPr>
          <w:rFonts w:hint="eastAsia" w:ascii="仿宋_GB2312" w:hAnsi="Times New Roman" w:eastAsia="仿宋_GB2312" w:cs="仿宋_GB2312"/>
          <w:color w:val="auto"/>
          <w:kern w:val="2"/>
          <w:sz w:val="32"/>
          <w:szCs w:val="32"/>
          <w:lang w:val="en-US" w:eastAsia="zh-CN" w:bidi="ar"/>
        </w:rPr>
        <w:t>答：</w:t>
      </w:r>
      <w:r>
        <w:rPr>
          <w:rFonts w:hint="eastAsia" w:ascii="仿宋_GB2312" w:hAnsi="仿宋_GB2312" w:eastAsia="仿宋_GB2312" w:cs="仿宋_GB2312"/>
          <w:color w:val="auto"/>
          <w:sz w:val="32"/>
          <w:szCs w:val="32"/>
          <w:highlight w:val="none"/>
          <w:lang w:eastAsia="zh-CN"/>
        </w:rPr>
        <w:t>考生可关注贵州省卫生健康委官方网站、官方微信公众号及各市（州）卫生健康部门相关网站查询省外、省内</w:t>
      </w:r>
      <w:r>
        <w:rPr>
          <w:rFonts w:hint="eastAsia" w:ascii="仿宋_GB2312" w:hAnsi="仿宋_GB2312" w:eastAsia="仿宋_GB2312" w:cs="仿宋_GB2312"/>
          <w:color w:val="auto"/>
          <w:sz w:val="32"/>
          <w:szCs w:val="32"/>
          <w:highlight w:val="none"/>
        </w:rPr>
        <w:t>疫情重点地区</w:t>
      </w:r>
      <w:r>
        <w:rPr>
          <w:rFonts w:hint="eastAsia" w:ascii="仿宋_GB2312" w:hAnsi="仿宋_GB2312" w:eastAsia="仿宋_GB2312" w:cs="仿宋_GB2312"/>
          <w:color w:val="auto"/>
          <w:sz w:val="32"/>
          <w:szCs w:val="32"/>
          <w:highlight w:val="none"/>
          <w:lang w:eastAsia="zh-CN"/>
        </w:rPr>
        <w:t>名单。</w:t>
      </w:r>
    </w:p>
    <w:p>
      <w:pPr>
        <w:keepNext w:val="0"/>
        <w:keepLines w:val="0"/>
        <w:widowControl/>
        <w:suppressLineNumbers w:val="0"/>
        <w:autoSpaceDE w:val="0"/>
        <w:autoSpaceDN/>
        <w:spacing w:before="0" w:beforeAutospacing="0" w:after="0" w:afterAutospacing="0" w:line="560" w:lineRule="exact"/>
        <w:ind w:left="0" w:leftChars="0" w:right="0" w:rightChars="0" w:firstLine="627" w:firstLineChars="196"/>
        <w:jc w:val="both"/>
        <w:rPr>
          <w:rFonts w:hint="eastAsia" w:ascii="黑体" w:hAnsi="宋体" w:eastAsia="黑体" w:cs="黑体"/>
          <w:color w:val="auto"/>
          <w:kern w:val="2"/>
          <w:sz w:val="32"/>
          <w:szCs w:val="32"/>
          <w:lang w:val="en-US" w:eastAsia="zh-CN" w:bidi="ar"/>
        </w:rPr>
      </w:pPr>
      <w:r>
        <w:rPr>
          <w:rFonts w:hint="eastAsia" w:ascii="黑体" w:hAnsi="宋体" w:eastAsia="黑体" w:cs="黑体"/>
          <w:color w:val="auto"/>
          <w:kern w:val="2"/>
          <w:sz w:val="32"/>
          <w:szCs w:val="32"/>
          <w:lang w:val="en-US" w:eastAsia="zh-CN" w:bidi="ar"/>
        </w:rPr>
        <w:t>四、连续两天参加考试如何提供核酸检测阴性报告？</w:t>
      </w:r>
    </w:p>
    <w:p>
      <w:pPr>
        <w:keepNext w:val="0"/>
        <w:keepLines w:val="0"/>
        <w:pageBreakBefore w:val="0"/>
        <w:widowControl/>
        <w:kinsoku/>
        <w:wordWrap/>
        <w:overflowPunct/>
        <w:topLinePunct w:val="0"/>
        <w:autoSpaceDE w:val="0"/>
        <w:autoSpaceDN/>
        <w:bidi w:val="0"/>
        <w:adjustRightInd/>
        <w:snapToGrid/>
        <w:spacing w:line="560" w:lineRule="exact"/>
        <w:ind w:left="0" w:leftChars="0" w:right="0" w:rightChars="0" w:firstLine="627" w:firstLineChars="196"/>
        <w:jc w:val="left"/>
        <w:textAlignment w:val="auto"/>
        <w:outlineLvl w:val="9"/>
        <w:rPr>
          <w:rFonts w:hint="eastAsia" w:ascii="仿宋_GB2312" w:eastAsia="仿宋_GB2312" w:cs="仿宋_GB2312"/>
          <w:color w:val="auto"/>
          <w:kern w:val="2"/>
          <w:sz w:val="32"/>
          <w:szCs w:val="32"/>
          <w:highlight w:val="none"/>
        </w:rPr>
      </w:pPr>
      <w:r>
        <w:rPr>
          <w:rFonts w:hint="eastAsia" w:ascii="仿宋_GB2312" w:hAnsi="Times New Roman" w:eastAsia="仿宋_GB2312" w:cs="仿宋_GB2312"/>
          <w:color w:val="auto"/>
          <w:kern w:val="2"/>
          <w:sz w:val="32"/>
          <w:szCs w:val="32"/>
          <w:lang w:val="en-US" w:eastAsia="zh-CN" w:bidi="ar"/>
        </w:rPr>
        <w:t>答：</w:t>
      </w:r>
      <w:r>
        <w:rPr>
          <w:rFonts w:hint="eastAsia" w:ascii="仿宋_GB2312" w:hAnsi="Calibri" w:eastAsia="仿宋_GB2312" w:cs="仿宋_GB2312"/>
          <w:color w:val="auto"/>
          <w:kern w:val="2"/>
          <w:sz w:val="32"/>
          <w:szCs w:val="32"/>
          <w:lang w:val="en-US" w:eastAsia="zh-CN" w:bidi="ar"/>
        </w:rPr>
        <w:t>在连续两天举行的我省人事考试中，</w:t>
      </w:r>
      <w:r>
        <w:rPr>
          <w:rFonts w:hint="eastAsia" w:ascii="仿宋_GB2312" w:hAnsi="仿宋_GB2312" w:eastAsia="仿宋_GB2312" w:cs="仿宋_GB2312"/>
          <w:color w:val="auto"/>
          <w:sz w:val="32"/>
          <w:szCs w:val="32"/>
          <w:highlight w:val="none"/>
          <w:u w:val="none"/>
          <w:lang w:val="en-US" w:eastAsia="zh-CN"/>
        </w:rPr>
        <w:t>考生提供第</w:t>
      </w:r>
      <w:r>
        <w:rPr>
          <w:rFonts w:hint="eastAsia" w:ascii="Times New Roman" w:hAnsi="Times New Roman" w:eastAsia="仿宋_GB2312" w:cs="Times New Roman"/>
          <w:color w:val="auto"/>
          <w:sz w:val="32"/>
          <w:szCs w:val="40"/>
          <w:highlight w:val="none"/>
          <w:u w:val="none"/>
          <w:lang w:val="en-US" w:eastAsia="zh-CN"/>
        </w:rPr>
        <w:t>1</w:t>
      </w:r>
      <w:r>
        <w:rPr>
          <w:rFonts w:hint="eastAsia" w:ascii="仿宋_GB2312" w:hAnsi="仿宋_GB2312" w:eastAsia="仿宋_GB2312" w:cs="仿宋_GB2312"/>
          <w:color w:val="auto"/>
          <w:sz w:val="32"/>
          <w:szCs w:val="32"/>
          <w:highlight w:val="none"/>
          <w:u w:val="none"/>
          <w:lang w:val="en-US" w:eastAsia="zh-CN"/>
        </w:rPr>
        <w:t>天考试时符合规定的核酸检测阴性证明即可。</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黑体" w:cs="Times New Roman"/>
          <w:color w:val="auto"/>
          <w:kern w:val="2"/>
          <w:sz w:val="32"/>
          <w:szCs w:val="32"/>
        </w:rPr>
      </w:pPr>
      <w:r>
        <w:rPr>
          <w:rFonts w:hint="eastAsia" w:ascii="黑体" w:hAnsi="宋体" w:eastAsia="黑体" w:cs="黑体"/>
          <w:color w:val="auto"/>
          <w:kern w:val="2"/>
          <w:sz w:val="32"/>
          <w:szCs w:val="32"/>
          <w:lang w:val="en-US" w:eastAsia="zh-CN" w:bidi="ar"/>
        </w:rPr>
        <w:t>五、按规定需执行“3天集中隔离+4天居家健康监测+5次核酸检测”、“3天居家健康监测”、“三天三检”的人员，还需要再提供考前48小时内的1次核酸检测阴性证明吗？</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eastAsia" w:ascii="仿宋_GB2312" w:hAnsi="Calibri" w:eastAsia="仿宋_GB2312" w:cs="仿宋_GB2312"/>
          <w:color w:val="auto"/>
          <w:kern w:val="2"/>
          <w:sz w:val="32"/>
          <w:szCs w:val="32"/>
          <w:lang w:val="en-US" w:eastAsia="zh-CN" w:bidi="ar"/>
        </w:rPr>
      </w:pPr>
      <w:r>
        <w:rPr>
          <w:rFonts w:hint="eastAsia" w:ascii="仿宋_GB2312" w:hAnsi="Times New Roman" w:eastAsia="仿宋_GB2312" w:cs="仿宋_GB2312"/>
          <w:color w:val="auto"/>
          <w:kern w:val="2"/>
          <w:sz w:val="32"/>
          <w:szCs w:val="32"/>
          <w:lang w:val="en-US" w:eastAsia="zh-CN" w:bidi="ar"/>
        </w:rPr>
        <w:t>答：</w:t>
      </w:r>
      <w:r>
        <w:rPr>
          <w:rFonts w:hint="eastAsia" w:ascii="黑体" w:hAnsi="黑体" w:eastAsia="黑体" w:cs="黑体"/>
          <w:b/>
          <w:bCs/>
          <w:color w:val="auto"/>
          <w:kern w:val="2"/>
          <w:sz w:val="32"/>
          <w:szCs w:val="32"/>
          <w:lang w:val="en-US" w:eastAsia="zh-CN" w:bidi="ar"/>
        </w:rPr>
        <w:t>所有考生均须提供相应的考前48小时内1次核酸检测阴性证明</w:t>
      </w:r>
      <w:r>
        <w:rPr>
          <w:rFonts w:hint="eastAsia" w:ascii="仿宋_GB2312" w:hAnsi="Calibri" w:eastAsia="仿宋_GB2312" w:cs="仿宋_GB2312"/>
          <w:color w:val="auto"/>
          <w:kern w:val="2"/>
          <w:sz w:val="32"/>
          <w:szCs w:val="32"/>
          <w:lang w:val="en-US" w:eastAsia="zh-CN" w:bidi="ar"/>
        </w:rPr>
        <w:t>。按规定需执行“3天集中隔离+4天居家健康监测+5次核酸检测”、“3天居家健康监测”、“三天三检”的人员，</w:t>
      </w:r>
      <w:r>
        <w:rPr>
          <w:rFonts w:hint="eastAsia" w:ascii="仿宋_GB2312" w:cs="仿宋_GB2312"/>
          <w:color w:val="auto"/>
          <w:kern w:val="2"/>
          <w:sz w:val="32"/>
          <w:szCs w:val="32"/>
          <w:lang w:val="en-US" w:eastAsia="zh-CN" w:bidi="ar"/>
        </w:rPr>
        <w:t>如</w:t>
      </w:r>
      <w:r>
        <w:rPr>
          <w:rFonts w:hint="eastAsia" w:ascii="仿宋_GB2312" w:hAnsi="Calibri" w:eastAsia="仿宋_GB2312" w:cs="仿宋_GB2312"/>
          <w:color w:val="auto"/>
          <w:kern w:val="2"/>
          <w:sz w:val="32"/>
          <w:szCs w:val="32"/>
          <w:lang w:val="en-US" w:eastAsia="zh-CN" w:bidi="ar"/>
        </w:rPr>
        <w:t>最后</w:t>
      </w:r>
      <w:r>
        <w:rPr>
          <w:rFonts w:hint="eastAsia" w:ascii="仿宋_GB2312" w:eastAsia="仿宋_GB2312" w:cs="仿宋_GB2312"/>
          <w:color w:val="auto"/>
          <w:kern w:val="2"/>
          <w:sz w:val="32"/>
          <w:szCs w:val="32"/>
          <w:lang w:val="en-US" w:eastAsia="zh-CN" w:bidi="ar"/>
        </w:rPr>
        <w:t>1</w:t>
      </w:r>
      <w:r>
        <w:rPr>
          <w:rFonts w:hint="eastAsia" w:ascii="仿宋_GB2312" w:hAnsi="Calibri" w:eastAsia="仿宋_GB2312" w:cs="仿宋_GB2312"/>
          <w:color w:val="auto"/>
          <w:kern w:val="2"/>
          <w:sz w:val="32"/>
          <w:szCs w:val="32"/>
          <w:lang w:val="en-US" w:eastAsia="zh-CN" w:bidi="ar"/>
        </w:rPr>
        <w:t>次核酸检测在考前48小时内的，无需重复检测。</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黑体" w:cs="Times New Roman"/>
          <w:b w:val="0"/>
          <w:bCs w:val="0"/>
          <w:color w:val="auto"/>
          <w:kern w:val="2"/>
          <w:sz w:val="32"/>
          <w:szCs w:val="32"/>
        </w:rPr>
      </w:pPr>
      <w:r>
        <w:rPr>
          <w:rFonts w:hint="eastAsia" w:ascii="黑体" w:hAnsi="宋体" w:eastAsia="黑体" w:cs="黑体"/>
          <w:color w:val="auto"/>
          <w:kern w:val="2"/>
          <w:sz w:val="32"/>
          <w:szCs w:val="32"/>
          <w:lang w:val="en-US" w:eastAsia="zh-CN" w:bidi="ar"/>
        </w:rPr>
        <w:t>六、</w:t>
      </w:r>
      <w:r>
        <w:rPr>
          <w:rFonts w:hint="eastAsia" w:ascii="黑体" w:hAnsi="宋体" w:eastAsia="黑体" w:cs="黑体"/>
          <w:b w:val="0"/>
          <w:bCs w:val="0"/>
          <w:color w:val="auto"/>
          <w:kern w:val="2"/>
          <w:sz w:val="32"/>
          <w:szCs w:val="32"/>
          <w:lang w:val="en-US" w:eastAsia="zh-CN" w:bidi="ar"/>
        </w:rPr>
        <w:t>考试期间需要佩戴口罩吗？</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仿宋_GB2312" w:cs="Times New Roman"/>
          <w:color w:val="auto"/>
          <w:kern w:val="2"/>
          <w:sz w:val="32"/>
          <w:szCs w:val="32"/>
        </w:rPr>
      </w:pPr>
      <w:r>
        <w:rPr>
          <w:rFonts w:hint="eastAsia" w:ascii="仿宋_GB2312" w:hAnsi="Times New Roman" w:eastAsia="仿宋_GB2312" w:cs="仿宋_GB2312"/>
          <w:color w:val="auto"/>
          <w:kern w:val="2"/>
          <w:sz w:val="32"/>
          <w:szCs w:val="32"/>
          <w:lang w:val="en-US" w:eastAsia="zh-CN" w:bidi="ar"/>
        </w:rPr>
        <w:t>答：考生应自备一次性使用医用口罩。考试期间，除核验身份时，考生应全程规范佩戴一次性使用医用口罩。未按要求佩戴口罩的考生，不得进入考点参加考试。</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黑体" w:cs="Times New Roman"/>
          <w:color w:val="auto"/>
          <w:kern w:val="2"/>
          <w:sz w:val="32"/>
          <w:szCs w:val="32"/>
        </w:rPr>
      </w:pPr>
      <w:r>
        <w:rPr>
          <w:rFonts w:hint="eastAsia" w:ascii="黑体" w:hAnsi="宋体" w:eastAsia="黑体" w:cs="黑体"/>
          <w:color w:val="auto"/>
          <w:kern w:val="2"/>
          <w:sz w:val="32"/>
          <w:szCs w:val="32"/>
          <w:lang w:val="en-US" w:eastAsia="zh-CN" w:bidi="ar"/>
        </w:rPr>
        <w:t>七、考生需要提前多久到考点进行入场检测？</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仿宋_GB2312" w:cs="Times New Roman"/>
          <w:color w:val="auto"/>
          <w:kern w:val="2"/>
          <w:sz w:val="32"/>
          <w:szCs w:val="32"/>
        </w:rPr>
      </w:pPr>
      <w:r>
        <w:rPr>
          <w:rFonts w:hint="eastAsia" w:ascii="仿宋_GB2312" w:hAnsi="Times New Roman" w:eastAsia="仿宋_GB2312" w:cs="仿宋_GB2312"/>
          <w:color w:val="auto"/>
          <w:kern w:val="2"/>
          <w:sz w:val="32"/>
          <w:szCs w:val="32"/>
          <w:lang w:val="en-US" w:eastAsia="zh-CN" w:bidi="ar"/>
        </w:rPr>
        <w:t>答：为保障入场检测时间充足，各考点入场检测处于各科目开考前</w:t>
      </w:r>
      <w:r>
        <w:rPr>
          <w:rFonts w:hint="default" w:ascii="Times New Roman" w:hAnsi="Times New Roman" w:eastAsia="仿宋_GB2312" w:cs="Times New Roman"/>
          <w:color w:val="auto"/>
          <w:kern w:val="2"/>
          <w:sz w:val="32"/>
          <w:szCs w:val="32"/>
          <w:lang w:val="en-US" w:eastAsia="zh-CN" w:bidi="ar"/>
        </w:rPr>
        <w:t>100</w:t>
      </w:r>
      <w:r>
        <w:rPr>
          <w:rFonts w:hint="eastAsia" w:ascii="仿宋_GB2312" w:hAnsi="Times New Roman" w:eastAsia="仿宋_GB2312" w:cs="仿宋_GB2312"/>
          <w:color w:val="auto"/>
          <w:kern w:val="2"/>
          <w:sz w:val="32"/>
          <w:szCs w:val="32"/>
          <w:lang w:val="en-US" w:eastAsia="zh-CN" w:bidi="ar"/>
        </w:rPr>
        <w:t>分钟即开始入场检测。请考生尽早到达考点排队接受检测，排队时提前准备好检测材料。请勿临近开考时扎堆到达考点，避免造成拥堵耽误进场时间。</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黑体" w:cs="Times New Roman"/>
          <w:color w:val="auto"/>
          <w:kern w:val="2"/>
          <w:sz w:val="32"/>
          <w:szCs w:val="32"/>
          <w:highlight w:val="yellow"/>
        </w:rPr>
      </w:pPr>
      <w:r>
        <w:rPr>
          <w:rFonts w:hint="eastAsia" w:ascii="黑体" w:hAnsi="宋体" w:eastAsia="黑体" w:cs="黑体"/>
          <w:color w:val="auto"/>
          <w:kern w:val="2"/>
          <w:sz w:val="32"/>
          <w:szCs w:val="32"/>
          <w:lang w:val="en-US" w:eastAsia="zh-CN" w:bidi="ar"/>
        </w:rPr>
        <w:t>八、入场检测合格后准考证上需要加盖合格章吗？</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仿宋_GB2312" w:cs="Times New Roman"/>
          <w:color w:val="auto"/>
          <w:kern w:val="2"/>
          <w:sz w:val="32"/>
          <w:szCs w:val="32"/>
        </w:rPr>
      </w:pPr>
      <w:r>
        <w:rPr>
          <w:rFonts w:hint="eastAsia" w:ascii="仿宋_GB2312" w:hAnsi="Times New Roman" w:eastAsia="仿宋_GB2312" w:cs="仿宋_GB2312"/>
          <w:color w:val="auto"/>
          <w:kern w:val="2"/>
          <w:sz w:val="32"/>
          <w:szCs w:val="32"/>
          <w:lang w:val="en-US" w:eastAsia="zh-CN" w:bidi="ar"/>
        </w:rPr>
        <w:t>答：经入场检测合格的考生，工作人员会在其准考证上加盖合格章，进入考场时监考人员会对准考证上的合格章进行再次核验。凡准考证未加盖合格章的，请迅速到考务办公室按要求重新检测，检测合格的由考务办公室加盖合格章。</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黑体" w:cs="Times New Roman"/>
          <w:color w:val="auto"/>
          <w:kern w:val="2"/>
          <w:sz w:val="32"/>
          <w:szCs w:val="32"/>
        </w:rPr>
      </w:pPr>
      <w:r>
        <w:rPr>
          <w:rFonts w:hint="eastAsia" w:ascii="黑体" w:hAnsi="宋体" w:eastAsia="黑体" w:cs="黑体"/>
          <w:color w:val="auto"/>
          <w:kern w:val="2"/>
          <w:sz w:val="32"/>
          <w:szCs w:val="32"/>
          <w:lang w:val="en-US" w:eastAsia="zh-CN" w:bidi="ar"/>
        </w:rPr>
        <w:t>九、考生可以开车进入考点吗？</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仿宋_GB2312" w:cs="Times New Roman"/>
          <w:color w:val="auto"/>
          <w:kern w:val="2"/>
          <w:sz w:val="32"/>
          <w:szCs w:val="32"/>
        </w:rPr>
      </w:pPr>
      <w:r>
        <w:rPr>
          <w:rFonts w:hint="eastAsia" w:ascii="仿宋_GB2312" w:hAnsi="Times New Roman" w:eastAsia="仿宋_GB2312" w:cs="仿宋_GB2312"/>
          <w:color w:val="auto"/>
          <w:kern w:val="2"/>
          <w:sz w:val="32"/>
          <w:szCs w:val="32"/>
          <w:lang w:val="en-US" w:eastAsia="zh-CN" w:bidi="ar"/>
        </w:rPr>
        <w:t>答</w:t>
      </w:r>
      <w:r>
        <w:rPr>
          <w:rFonts w:hint="default" w:ascii="Times New Roman" w:hAnsi="Times New Roman" w:eastAsia="仿宋_GB2312" w:cs="Times New Roman"/>
          <w:color w:val="auto"/>
          <w:kern w:val="2"/>
          <w:sz w:val="32"/>
          <w:szCs w:val="32"/>
          <w:lang w:val="en-US" w:eastAsia="zh-CN" w:bidi="ar"/>
        </w:rPr>
        <w:t>:</w:t>
      </w:r>
      <w:r>
        <w:rPr>
          <w:rFonts w:hint="eastAsia" w:ascii="仿宋_GB2312" w:hAnsi="Times New Roman" w:eastAsia="仿宋_GB2312" w:cs="仿宋_GB2312"/>
          <w:color w:val="auto"/>
          <w:kern w:val="2"/>
          <w:sz w:val="32"/>
          <w:szCs w:val="32"/>
          <w:lang w:val="en-US" w:eastAsia="zh-CN" w:bidi="ar"/>
        </w:rPr>
        <w:t>为确保疫情防控安全和考点入场检测秩序，除考试公务车辆外，其余车辆不得进入考点。请勿自行驾车前往考点，接送考生车辆，请在距离考点大门一定距离处即停即走，避免造成交通拥堵。</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eastAsia" w:ascii="黑体" w:hAnsi="宋体" w:eastAsia="黑体" w:cs="黑体"/>
          <w:color w:val="auto"/>
          <w:kern w:val="2"/>
          <w:sz w:val="32"/>
          <w:szCs w:val="32"/>
          <w:lang w:val="en-US" w:eastAsia="zh-CN" w:bidi="ar"/>
        </w:rPr>
      </w:pPr>
      <w:r>
        <w:rPr>
          <w:rFonts w:hint="eastAsia" w:ascii="黑体" w:hAnsi="宋体" w:eastAsia="黑体" w:cs="黑体"/>
          <w:color w:val="auto"/>
          <w:kern w:val="2"/>
          <w:sz w:val="32"/>
          <w:szCs w:val="32"/>
          <w:lang w:val="en-US" w:eastAsia="zh-CN" w:bidi="ar"/>
        </w:rPr>
        <w:t>十、省内低风险区考生参加考试有什么要求？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答：省内</w:t>
      </w:r>
      <w:r>
        <w:rPr>
          <w:rFonts w:hint="eastAsia" w:ascii="仿宋_GB2312" w:hAnsi="仿宋_GB2312" w:cs="仿宋_GB2312"/>
          <w:color w:val="auto"/>
          <w:sz w:val="32"/>
          <w:szCs w:val="32"/>
          <w:lang w:val="en-US" w:eastAsia="zh-CN"/>
        </w:rPr>
        <w:t>有疫情发生的</w:t>
      </w:r>
      <w:r>
        <w:rPr>
          <w:rFonts w:hint="eastAsia" w:ascii="仿宋_GB2312" w:hAnsi="仿宋_GB2312" w:eastAsia="仿宋_GB2312" w:cs="仿宋_GB2312"/>
          <w:color w:val="auto"/>
          <w:sz w:val="32"/>
          <w:szCs w:val="32"/>
          <w:lang w:val="en-US" w:eastAsia="zh-CN"/>
        </w:rPr>
        <w:t>县（市、区、特区）低风险区考生，</w:t>
      </w:r>
      <w:r>
        <w:rPr>
          <w:rFonts w:hint="eastAsia" w:ascii="仿宋_GB2312" w:hAnsi="仿宋_GB2312" w:cs="仿宋_GB2312"/>
          <w:color w:val="auto"/>
          <w:sz w:val="32"/>
          <w:szCs w:val="32"/>
          <w:lang w:val="en-US" w:eastAsia="zh-CN"/>
        </w:rPr>
        <w:t>根据属地疫情防控指挥部的要求，</w:t>
      </w:r>
      <w:r>
        <w:rPr>
          <w:rFonts w:hint="eastAsia" w:ascii="仿宋_GB2312" w:hAnsi="仿宋_GB2312" w:eastAsia="仿宋_GB2312" w:cs="仿宋_GB2312"/>
          <w:color w:val="auto"/>
          <w:sz w:val="32"/>
          <w:szCs w:val="32"/>
          <w:lang w:val="en-US" w:eastAsia="zh-CN"/>
        </w:rPr>
        <w:t>非必要不离开本区域，</w:t>
      </w:r>
      <w:r>
        <w:rPr>
          <w:rFonts w:hint="eastAsia" w:ascii="仿宋_GB2312" w:hAnsi="仿宋_GB2312" w:cs="仿宋_GB2312"/>
          <w:color w:val="auto"/>
          <w:sz w:val="32"/>
          <w:szCs w:val="32"/>
          <w:lang w:val="en-US" w:eastAsia="zh-CN"/>
        </w:rPr>
        <w:t>如可</w:t>
      </w:r>
      <w:r>
        <w:rPr>
          <w:rFonts w:hint="eastAsia" w:ascii="仿宋_GB2312" w:hAnsi="仿宋_GB2312" w:eastAsia="仿宋_GB2312" w:cs="仿宋_GB2312"/>
          <w:color w:val="auto"/>
          <w:sz w:val="32"/>
          <w:szCs w:val="32"/>
          <w:lang w:val="en-US" w:eastAsia="zh-CN"/>
        </w:rPr>
        <w:t>跨</w:t>
      </w:r>
      <w:r>
        <w:rPr>
          <w:rFonts w:hint="eastAsia" w:ascii="仿宋_GB2312" w:hAnsi="仿宋_GB2312" w:cs="仿宋_GB2312"/>
          <w:color w:val="auto"/>
          <w:sz w:val="32"/>
          <w:szCs w:val="32"/>
          <w:lang w:val="en-US" w:eastAsia="zh-CN"/>
        </w:rPr>
        <w:t>区的，</w:t>
      </w:r>
      <w:r>
        <w:rPr>
          <w:rFonts w:hint="eastAsia" w:ascii="仿宋_GB2312" w:hAnsi="仿宋_GB2312" w:eastAsia="仿宋_GB2312" w:cs="仿宋_GB2312"/>
          <w:color w:val="auto"/>
          <w:sz w:val="32"/>
          <w:szCs w:val="32"/>
          <w:lang w:val="en-US" w:eastAsia="zh-CN"/>
        </w:rPr>
        <w:t>须持48小时内核酸检测阴性证明和贵州健康码“绿码”有序通行；抵达目的地后，主动配合</w:t>
      </w:r>
      <w:r>
        <w:rPr>
          <w:rFonts w:hint="eastAsia" w:ascii="仿宋_GB2312" w:hAnsi="仿宋_GB2312" w:cs="仿宋_GB2312"/>
          <w:color w:val="auto"/>
          <w:sz w:val="32"/>
          <w:szCs w:val="32"/>
          <w:lang w:val="en-US" w:eastAsia="zh-CN"/>
        </w:rPr>
        <w:t>目的地</w:t>
      </w:r>
      <w:r>
        <w:rPr>
          <w:rFonts w:hint="eastAsia" w:ascii="仿宋_GB2312" w:hAnsi="仿宋_GB2312" w:eastAsia="仿宋_GB2312" w:cs="仿宋_GB2312"/>
          <w:color w:val="auto"/>
          <w:sz w:val="32"/>
          <w:szCs w:val="32"/>
          <w:lang w:val="en-US" w:eastAsia="zh-CN"/>
        </w:rPr>
        <w:t>疫情防控部门完成各项防疫措施。未</w:t>
      </w:r>
      <w:r>
        <w:rPr>
          <w:rFonts w:hint="eastAsia" w:ascii="仿宋_GB2312" w:hAnsi="仿宋_GB2312" w:cs="仿宋_GB2312"/>
          <w:color w:val="auto"/>
          <w:sz w:val="32"/>
          <w:szCs w:val="32"/>
          <w:lang w:val="en-US" w:eastAsia="zh-CN"/>
        </w:rPr>
        <w:t>落实目的地</w:t>
      </w:r>
      <w:r>
        <w:rPr>
          <w:rFonts w:hint="eastAsia" w:ascii="仿宋_GB2312" w:hAnsi="仿宋_GB2312" w:eastAsia="仿宋_GB2312" w:cs="仿宋_GB2312"/>
          <w:color w:val="auto"/>
          <w:sz w:val="32"/>
          <w:szCs w:val="32"/>
          <w:lang w:val="en-US" w:eastAsia="zh-CN"/>
        </w:rPr>
        <w:t>防疫措施的考生，不得</w:t>
      </w:r>
      <w:r>
        <w:rPr>
          <w:rFonts w:hint="eastAsia" w:ascii="仿宋_GB2312" w:hAnsi="仿宋_GB2312" w:eastAsia="仿宋_GB2312" w:cs="仿宋_GB2312"/>
          <w:color w:val="auto"/>
          <w:sz w:val="32"/>
          <w:szCs w:val="32"/>
        </w:rPr>
        <w:t>进入考点参加考试。</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eastAsia" w:ascii="黑体" w:hAnsi="宋体" w:eastAsia="黑体" w:cs="黑体"/>
          <w:color w:val="auto"/>
          <w:kern w:val="2"/>
          <w:sz w:val="32"/>
          <w:szCs w:val="32"/>
          <w:lang w:val="en-US" w:eastAsia="zh-CN" w:bidi="ar"/>
        </w:rPr>
      </w:pPr>
      <w:r>
        <w:rPr>
          <w:rFonts w:hint="eastAsia" w:ascii="黑体" w:hAnsi="宋体" w:eastAsia="黑体" w:cs="黑体"/>
          <w:color w:val="auto"/>
          <w:kern w:val="2"/>
          <w:sz w:val="32"/>
          <w:szCs w:val="32"/>
          <w:lang w:val="en-US" w:eastAsia="zh-CN" w:bidi="ar"/>
        </w:rPr>
        <w:t>十一、到其他市（州）参加考试有什么要求？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Times New Roman" w:eastAsia="仿宋_GB2312" w:cs="仿宋_GB2312"/>
          <w:color w:val="auto"/>
          <w:kern w:val="2"/>
          <w:sz w:val="32"/>
          <w:szCs w:val="32"/>
          <w:lang w:val="en-US" w:eastAsia="zh-CN" w:bidi="ar"/>
        </w:rPr>
        <w:t>答：</w:t>
      </w:r>
      <w:r>
        <w:rPr>
          <w:rFonts w:hint="eastAsia" w:ascii="仿宋_GB2312" w:hAnsi="仿宋_GB2312" w:eastAsia="仿宋_GB2312" w:cs="仿宋_GB2312"/>
          <w:color w:val="auto"/>
          <w:sz w:val="32"/>
          <w:szCs w:val="32"/>
          <w:lang w:val="en-US" w:eastAsia="zh-CN"/>
        </w:rPr>
        <w:t>省内无疫情发生的县（市、区、特区）考生在跨</w:t>
      </w:r>
      <w:r>
        <w:rPr>
          <w:rFonts w:hint="eastAsia" w:ascii="仿宋_GB2312" w:hAnsi="仿宋_GB2312" w:cs="仿宋_GB2312"/>
          <w:color w:val="auto"/>
          <w:sz w:val="32"/>
          <w:szCs w:val="32"/>
          <w:lang w:val="en-US" w:eastAsia="zh-CN"/>
        </w:rPr>
        <w:t>区考试</w:t>
      </w:r>
      <w:r>
        <w:rPr>
          <w:rFonts w:hint="eastAsia" w:ascii="仿宋_GB2312" w:hAnsi="仿宋_GB2312" w:eastAsia="仿宋_GB2312" w:cs="仿宋_GB2312"/>
          <w:color w:val="auto"/>
          <w:sz w:val="32"/>
          <w:szCs w:val="32"/>
          <w:lang w:val="en-US" w:eastAsia="zh-CN"/>
        </w:rPr>
        <w:t>时，可持48小时内核酸检测阴性证明和贵州健康码“绿码”有序通行；抵达目的地后，主动配合</w:t>
      </w:r>
      <w:r>
        <w:rPr>
          <w:rFonts w:hint="eastAsia" w:ascii="仿宋_GB2312" w:hAnsi="仿宋_GB2312" w:cs="仿宋_GB2312"/>
          <w:color w:val="auto"/>
          <w:sz w:val="32"/>
          <w:szCs w:val="32"/>
          <w:lang w:val="en-US" w:eastAsia="zh-CN"/>
        </w:rPr>
        <w:t>完成目的地防疫要求，</w:t>
      </w:r>
      <w:r>
        <w:rPr>
          <w:rFonts w:hint="eastAsia" w:ascii="仿宋_GB2312" w:hAnsi="仿宋_GB2312" w:eastAsia="仿宋_GB2312" w:cs="仿宋_GB2312"/>
          <w:color w:val="auto"/>
          <w:sz w:val="32"/>
          <w:szCs w:val="32"/>
          <w:lang w:val="en-US" w:eastAsia="zh-CN"/>
        </w:rPr>
        <w:t>落实完成</w:t>
      </w:r>
      <w:r>
        <w:rPr>
          <w:rFonts w:hint="eastAsia" w:ascii="仿宋_GB2312" w:hAnsi="仿宋_GB2312" w:cs="仿宋_GB2312"/>
          <w:color w:val="auto"/>
          <w:sz w:val="32"/>
          <w:szCs w:val="32"/>
          <w:lang w:val="en-US" w:eastAsia="zh-CN"/>
        </w:rPr>
        <w:t>相关</w:t>
      </w:r>
      <w:r>
        <w:rPr>
          <w:rFonts w:hint="eastAsia" w:ascii="仿宋_GB2312" w:hAnsi="仿宋_GB2312" w:eastAsia="仿宋_GB2312" w:cs="仿宋_GB2312"/>
          <w:color w:val="auto"/>
          <w:sz w:val="32"/>
          <w:szCs w:val="32"/>
          <w:lang w:val="en-US" w:eastAsia="zh-CN"/>
        </w:rPr>
        <w:t>防疫措施</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未</w:t>
      </w:r>
      <w:r>
        <w:rPr>
          <w:rFonts w:hint="eastAsia" w:ascii="仿宋_GB2312" w:hAnsi="仿宋_GB2312" w:cs="仿宋_GB2312"/>
          <w:color w:val="auto"/>
          <w:sz w:val="32"/>
          <w:szCs w:val="32"/>
          <w:lang w:val="en-US" w:eastAsia="zh-CN"/>
        </w:rPr>
        <w:t>落实目的地</w:t>
      </w:r>
      <w:r>
        <w:rPr>
          <w:rFonts w:hint="eastAsia" w:ascii="仿宋_GB2312" w:hAnsi="仿宋_GB2312" w:eastAsia="仿宋_GB2312" w:cs="仿宋_GB2312"/>
          <w:color w:val="auto"/>
          <w:sz w:val="32"/>
          <w:szCs w:val="32"/>
          <w:lang w:val="en-US" w:eastAsia="zh-CN"/>
        </w:rPr>
        <w:t>防疫措施的考生，不得</w:t>
      </w:r>
      <w:r>
        <w:rPr>
          <w:rFonts w:hint="eastAsia" w:ascii="仿宋_GB2312" w:hAnsi="仿宋_GB2312" w:eastAsia="仿宋_GB2312" w:cs="仿宋_GB2312"/>
          <w:color w:val="auto"/>
          <w:sz w:val="32"/>
          <w:szCs w:val="32"/>
        </w:rPr>
        <w:t>进入考点参加考试。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考生可关注贵州省卫生健康委官方网站、官方微信公众号及各市（州）卫生健康部门相关网站查询最新疫情防控要求。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kern w:val="2"/>
          <w:sz w:val="32"/>
          <w:szCs w:val="32"/>
        </w:rPr>
      </w:pPr>
      <w:r>
        <w:rPr>
          <w:rFonts w:hint="eastAsia" w:ascii="黑体" w:hAnsi="宋体" w:eastAsia="黑体" w:cs="黑体"/>
          <w:color w:val="auto"/>
          <w:kern w:val="2"/>
          <w:sz w:val="32"/>
          <w:szCs w:val="32"/>
          <w:lang w:val="en-US" w:eastAsia="zh-CN" w:bidi="ar"/>
        </w:rPr>
        <w:t>十二、其他有关提示</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eastAsia" w:ascii="Times New Roman" w:hAnsi="Times New Roman" w:eastAsia="仿宋_GB2312" w:cs="Times New Roman"/>
          <w:color w:val="auto"/>
          <w:kern w:val="2"/>
          <w:sz w:val="32"/>
          <w:szCs w:val="32"/>
          <w:lang w:eastAsia="zh-CN"/>
        </w:rPr>
      </w:pPr>
      <w:r>
        <w:rPr>
          <w:rFonts w:hint="eastAsia" w:ascii="楷体_GB2312" w:hAnsi="楷体_GB2312" w:eastAsia="楷体_GB2312" w:cs="楷体_GB2312"/>
          <w:color w:val="auto"/>
          <w:kern w:val="2"/>
          <w:sz w:val="32"/>
          <w:szCs w:val="32"/>
          <w:lang w:val="en-US" w:eastAsia="zh-CN" w:bidi="ar"/>
        </w:rPr>
        <w:t>（一）</w:t>
      </w:r>
      <w:r>
        <w:rPr>
          <w:rFonts w:hint="eastAsia" w:ascii="仿宋_GB2312" w:hAnsi="Times New Roman" w:eastAsia="仿宋_GB2312" w:cs="仿宋_GB2312"/>
          <w:color w:val="auto"/>
          <w:kern w:val="2"/>
          <w:sz w:val="32"/>
          <w:szCs w:val="32"/>
          <w:lang w:val="en-US" w:eastAsia="zh-CN" w:bidi="ar"/>
        </w:rPr>
        <w:t>为确保顺利参加考试，建议考生关注“国务院客户端”微信公众号，在“便民服务”栏里点击“各地防控政策”选择“出发地”和“目的地”，及时了解各地的防控政策，请提前做好个人健康申报、提前进行自我健康状况监测和</w:t>
      </w:r>
      <w:r>
        <w:rPr>
          <w:rFonts w:hint="eastAsia" w:ascii="仿宋_GB2312" w:hAnsi="仿宋_GB2312" w:eastAsia="仿宋_GB2312" w:cs="仿宋_GB2312"/>
          <w:color w:val="auto"/>
          <w:sz w:val="32"/>
          <w:szCs w:val="32"/>
          <w:lang w:val="en-US" w:eastAsia="zh-CN"/>
        </w:rPr>
        <w:t>“贵州健康码”</w:t>
      </w:r>
      <w:r>
        <w:rPr>
          <w:rFonts w:hint="eastAsia" w:ascii="仿宋_GB2312" w:hAnsi="仿宋_GB2312" w:eastAsia="仿宋_GB2312" w:cs="仿宋_GB2312"/>
          <w:color w:val="auto"/>
          <w:sz w:val="32"/>
          <w:szCs w:val="32"/>
        </w:rPr>
        <w:t>核验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以免进入考点时扫“场所码”提示异常</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w:t>
      </w:r>
      <w:r>
        <w:rPr>
          <w:rFonts w:hint="eastAsia" w:ascii="仿宋_GB2312" w:hAnsi="Times New Roman" w:eastAsia="仿宋_GB2312" w:cs="仿宋_GB2312"/>
          <w:b w:val="0"/>
          <w:bCs w:val="0"/>
          <w:color w:val="auto"/>
          <w:kern w:val="2"/>
          <w:sz w:val="32"/>
          <w:szCs w:val="32"/>
          <w:lang w:val="en-US" w:eastAsia="zh-CN" w:bidi="ar"/>
        </w:rPr>
        <w:t>密切关注“贵州健康码”上的核酸检测信息提示。</w:t>
      </w:r>
      <w:r>
        <w:rPr>
          <w:rFonts w:hint="eastAsia" w:ascii="仿宋_GB2312" w:hAnsi="仿宋_GB2312" w:eastAsia="仿宋_GB2312" w:cs="仿宋_GB2312"/>
          <w:b/>
          <w:bCs/>
          <w:color w:val="auto"/>
          <w:sz w:val="32"/>
          <w:szCs w:val="32"/>
        </w:rPr>
        <w:t>建议考生提前</w:t>
      </w:r>
      <w:r>
        <w:rPr>
          <w:rFonts w:hint="eastAsia" w:ascii="仿宋_GB2312" w:hAnsi="仿宋_GB2312" w:eastAsia="仿宋_GB2312" w:cs="仿宋_GB2312"/>
          <w:b/>
          <w:bCs/>
          <w:color w:val="auto"/>
          <w:sz w:val="32"/>
          <w:szCs w:val="32"/>
          <w:lang w:eastAsia="zh-CN"/>
        </w:rPr>
        <w:t>抵达考点所在市（州）</w:t>
      </w:r>
      <w:r>
        <w:rPr>
          <w:rFonts w:hint="eastAsia" w:ascii="仿宋_GB2312" w:hAnsi="仿宋_GB2312" w:eastAsia="仿宋_GB2312" w:cs="仿宋_GB2312"/>
          <w:b/>
          <w:bCs/>
          <w:color w:val="auto"/>
          <w:sz w:val="32"/>
          <w:szCs w:val="32"/>
        </w:rPr>
        <w:t>，为</w:t>
      </w:r>
      <w:r>
        <w:rPr>
          <w:rFonts w:hint="eastAsia" w:ascii="仿宋_GB2312" w:hAnsi="仿宋_GB2312" w:eastAsia="仿宋_GB2312" w:cs="仿宋_GB2312"/>
          <w:b/>
          <w:bCs/>
          <w:color w:val="auto"/>
          <w:sz w:val="32"/>
          <w:szCs w:val="32"/>
          <w:lang w:val="en-US" w:eastAsia="zh-CN"/>
        </w:rPr>
        <w:t>完成当地疫情防控部门防疫措施</w:t>
      </w:r>
      <w:r>
        <w:rPr>
          <w:rFonts w:hint="eastAsia" w:ascii="仿宋_GB2312" w:hAnsi="仿宋_GB2312" w:cs="仿宋_GB2312"/>
          <w:b/>
          <w:bCs/>
          <w:color w:val="auto"/>
          <w:sz w:val="32"/>
          <w:szCs w:val="32"/>
          <w:lang w:val="en-US" w:eastAsia="zh-CN"/>
        </w:rPr>
        <w:t>和相应次数的核酸检测</w:t>
      </w:r>
      <w:r>
        <w:rPr>
          <w:rFonts w:hint="eastAsia" w:ascii="仿宋_GB2312" w:hAnsi="仿宋_GB2312" w:eastAsia="仿宋_GB2312" w:cs="仿宋_GB2312"/>
          <w:b/>
          <w:bCs/>
          <w:color w:val="auto"/>
          <w:sz w:val="32"/>
          <w:szCs w:val="32"/>
        </w:rPr>
        <w:t>预留足够时间</w:t>
      </w:r>
      <w:r>
        <w:rPr>
          <w:rFonts w:hint="eastAsia" w:ascii="仿宋_GB2312" w:hAnsi="仿宋_GB2312" w:eastAsia="仿宋_GB2312" w:cs="仿宋_GB2312"/>
          <w:b/>
          <w:bCs/>
          <w:color w:val="auto"/>
          <w:sz w:val="32"/>
          <w:szCs w:val="32"/>
          <w:lang w:eastAsia="zh-CN"/>
        </w:rPr>
        <w:t>。</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仿宋_GB2312" w:cs="Times New Roman"/>
          <w:color w:val="auto"/>
          <w:kern w:val="2"/>
          <w:sz w:val="32"/>
          <w:szCs w:val="32"/>
        </w:rPr>
      </w:pPr>
      <w:r>
        <w:rPr>
          <w:rFonts w:hint="eastAsia" w:ascii="楷体_GB2312" w:hAnsi="楷体_GB2312" w:eastAsia="楷体_GB2312" w:cs="楷体_GB2312"/>
          <w:color w:val="auto"/>
          <w:kern w:val="2"/>
          <w:sz w:val="32"/>
          <w:szCs w:val="32"/>
          <w:lang w:val="en-US" w:eastAsia="zh-CN" w:bidi="ar"/>
        </w:rPr>
        <w:t>（二）</w:t>
      </w:r>
      <w:r>
        <w:rPr>
          <w:rFonts w:hint="eastAsia" w:ascii="仿宋_GB2312" w:hAnsi="Times New Roman" w:eastAsia="仿宋_GB2312" w:cs="仿宋_GB2312"/>
          <w:color w:val="auto"/>
          <w:kern w:val="2"/>
          <w:sz w:val="32"/>
          <w:szCs w:val="32"/>
          <w:lang w:val="en-US" w:eastAsia="zh-CN" w:bidi="ar"/>
        </w:rPr>
        <w:t>考试当天，请考生务必携带手机到考点入场检测处现场扫</w:t>
      </w:r>
      <w:r>
        <w:rPr>
          <w:rFonts w:hint="eastAsia" w:ascii="仿宋_GB2312" w:hAnsi="仿宋_GB2312" w:eastAsia="仿宋_GB2312" w:cs="仿宋_GB2312"/>
          <w:color w:val="auto"/>
          <w:sz w:val="32"/>
          <w:szCs w:val="32"/>
          <w:lang w:val="en-US" w:eastAsia="zh-CN" w:bidi="ar"/>
        </w:rPr>
        <w:t>“场所码”</w:t>
      </w:r>
      <w:r>
        <w:rPr>
          <w:rFonts w:hint="eastAsia" w:ascii="仿宋_GB2312" w:hAnsi="Times New Roman" w:eastAsia="仿宋_GB2312" w:cs="仿宋_GB2312"/>
          <w:color w:val="auto"/>
          <w:kern w:val="2"/>
          <w:sz w:val="32"/>
          <w:szCs w:val="32"/>
          <w:lang w:val="en-US" w:eastAsia="zh-CN" w:bidi="ar"/>
        </w:rPr>
        <w:t>。进入考场时，手机须按监考人员要求放到指定位置，严禁带至考座。</w:t>
      </w:r>
    </w:p>
    <w:p>
      <w:pPr>
        <w:keepNext w:val="0"/>
        <w:keepLines w:val="0"/>
        <w:widowControl w:val="0"/>
        <w:suppressLineNumbers w:val="0"/>
        <w:autoSpaceDE w:val="0"/>
        <w:autoSpaceDN/>
        <w:spacing w:before="0" w:beforeAutospacing="0" w:after="0" w:afterAutospacing="0" w:line="560" w:lineRule="exact"/>
        <w:ind w:left="0" w:leftChars="0" w:right="0" w:rightChars="0" w:firstLine="640" w:firstLineChars="200"/>
        <w:jc w:val="both"/>
        <w:rPr>
          <w:rFonts w:hint="default" w:ascii="Times New Roman" w:hAnsi="Times New Roman" w:eastAsia="仿宋_GB2312" w:cs="Times New Roman"/>
          <w:color w:val="auto"/>
          <w:kern w:val="2"/>
          <w:sz w:val="32"/>
          <w:szCs w:val="32"/>
        </w:rPr>
      </w:pPr>
      <w:r>
        <w:rPr>
          <w:rFonts w:hint="eastAsia" w:ascii="楷体_GB2312" w:hAnsi="楷体_GB2312" w:eastAsia="楷体_GB2312" w:cs="楷体_GB2312"/>
          <w:color w:val="auto"/>
          <w:kern w:val="2"/>
          <w:sz w:val="32"/>
          <w:szCs w:val="32"/>
          <w:lang w:val="en-US" w:eastAsia="zh-CN" w:bidi="ar"/>
        </w:rPr>
        <w:t>（三）</w:t>
      </w:r>
      <w:r>
        <w:rPr>
          <w:rFonts w:hint="eastAsia" w:ascii="仿宋_GB2312" w:hAnsi="Times New Roman" w:eastAsia="仿宋_GB2312" w:cs="仿宋_GB2312"/>
          <w:color w:val="auto"/>
          <w:kern w:val="2"/>
          <w:sz w:val="32"/>
          <w:szCs w:val="32"/>
          <w:lang w:val="en-US" w:eastAsia="zh-CN" w:bidi="ar"/>
        </w:rPr>
        <w:t>凡扫</w:t>
      </w:r>
      <w:r>
        <w:rPr>
          <w:rFonts w:hint="eastAsia" w:ascii="仿宋_GB2312" w:hAnsi="仿宋_GB2312" w:eastAsia="仿宋_GB2312" w:cs="仿宋_GB2312"/>
          <w:color w:val="auto"/>
          <w:sz w:val="32"/>
          <w:szCs w:val="32"/>
          <w:lang w:val="en-US" w:eastAsia="zh-CN" w:bidi="ar"/>
        </w:rPr>
        <w:t>“场所码”</w:t>
      </w:r>
      <w:r>
        <w:rPr>
          <w:rFonts w:hint="eastAsia" w:ascii="仿宋_GB2312" w:hAnsi="Times New Roman" w:eastAsia="仿宋_GB2312" w:cs="仿宋_GB2312"/>
          <w:color w:val="auto"/>
          <w:kern w:val="2"/>
          <w:sz w:val="32"/>
          <w:szCs w:val="32"/>
          <w:lang w:val="en-US" w:eastAsia="zh-CN" w:bidi="ar"/>
        </w:rPr>
        <w:t>不符合入场检测要求的考生，须立即主动向所在社区报备，并按照当地防控部门的要求，接受社区健康管理、执行相关防控措施。请勿前往考点、考场等人群密集的公共场所。</w:t>
      </w:r>
    </w:p>
    <w:p>
      <w:pPr>
        <w:keepNext w:val="0"/>
        <w:keepLines w:val="0"/>
        <w:widowControl w:val="0"/>
        <w:suppressLineNumbers w:val="0"/>
        <w:spacing w:before="0" w:beforeAutospacing="0" w:after="0" w:afterAutospacing="0"/>
        <w:ind w:left="0" w:right="0" w:firstLine="640" w:firstLineChars="200"/>
        <w:jc w:val="both"/>
        <w:rPr>
          <w:rFonts w:hint="eastAsia" w:ascii="仿宋_GB2312" w:hAnsi="Times New Roman" w:eastAsia="仿宋_GB2312" w:cs="仿宋_GB2312"/>
          <w:b w:val="0"/>
          <w:bCs w:val="0"/>
          <w:color w:val="auto"/>
          <w:kern w:val="2"/>
          <w:sz w:val="32"/>
          <w:szCs w:val="32"/>
          <w:lang w:val="en-US" w:eastAsia="zh-CN" w:bidi="ar"/>
        </w:rPr>
      </w:pPr>
      <w:r>
        <w:rPr>
          <w:rFonts w:hint="eastAsia" w:ascii="仿宋_GB2312" w:hAnsi="Times New Roman" w:eastAsia="仿宋_GB2312" w:cs="仿宋_GB2312"/>
          <w:b w:val="0"/>
          <w:bCs w:val="0"/>
          <w:color w:val="auto"/>
          <w:kern w:val="2"/>
          <w:sz w:val="32"/>
          <w:szCs w:val="32"/>
          <w:lang w:val="en-US" w:eastAsia="zh-CN" w:bidi="ar"/>
        </w:rPr>
        <w:t>《贵州省2022年人事考试新冠肺炎疫情防控要求（第六版）》适用于贵州省人力资源和社会保障厅考试院（贵州省公务员考试测评中心）组织实施的各项人事考试。省内其他单位自行组织的考试，按其单位自行制定的考试疫情防控要求执行。</w:t>
      </w:r>
    </w:p>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sectPr>
          <w:pgSz w:w="11906" w:h="16838"/>
          <w:pgMar w:top="1440" w:right="1800" w:bottom="1440" w:left="1800" w:header="851" w:footer="992" w:gutter="0"/>
          <w:cols w:space="425" w:num="1"/>
          <w:docGrid w:type="lines" w:linePitch="312" w:charSpace="0"/>
        </w:sectPr>
      </w:pPr>
    </w:p>
    <w:p>
      <w:pP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附件4-2</w:t>
      </w:r>
      <w:bookmarkStart w:id="0" w:name="_GoBack"/>
      <w:bookmarkEnd w:id="0"/>
    </w:p>
    <w:p/>
    <w:p/>
    <w:p>
      <w:pPr>
        <w:rPr>
          <w:color w:val="5B9BD5" w:themeColor="accent1"/>
          <w14:textFill>
            <w14:solidFill>
              <w14:schemeClr w14:val="accent1"/>
            </w14:solidFill>
          </w14:textFill>
        </w:rPr>
      </w:pPr>
      <w:r>
        <w:rPr>
          <w:sz w:val="21"/>
        </w:rPr>
        <mc:AlternateContent>
          <mc:Choice Requires="wps">
            <w:drawing>
              <wp:anchor distT="0" distB="0" distL="114300" distR="114300" simplePos="0" relativeHeight="251664384" behindDoc="0" locked="0" layoutInCell="1" allowOverlap="1">
                <wp:simplePos x="0" y="0"/>
                <wp:positionH relativeFrom="column">
                  <wp:posOffset>1544955</wp:posOffset>
                </wp:positionH>
                <wp:positionV relativeFrom="paragraph">
                  <wp:posOffset>22225</wp:posOffset>
                </wp:positionV>
                <wp:extent cx="6038215" cy="514350"/>
                <wp:effectExtent l="13970" t="0" r="24765" b="23495"/>
                <wp:wrapNone/>
                <wp:docPr id="18" name="文本框 18"/>
                <wp:cNvGraphicFramePr/>
                <a:graphic xmlns:a="http://schemas.openxmlformats.org/drawingml/2006/main">
                  <a:graphicData uri="http://schemas.microsoft.com/office/word/2010/wordprocessingShape">
                    <wps:wsp>
                      <wps:cNvSpPr txBox="1"/>
                      <wps:spPr>
                        <a:xfrm>
                          <a:off x="3122295" y="515620"/>
                          <a:ext cx="6038215" cy="514350"/>
                        </a:xfrm>
                        <a:prstGeom prst="rect">
                          <a:avLst/>
                        </a:prstGeom>
                        <a:solidFill>
                          <a:schemeClr val="lt1"/>
                        </a:solidFill>
                        <a:ln w="28575" cmpd="sng">
                          <a:solidFill>
                            <a:schemeClr val="accent1">
                              <a:shade val="50000"/>
                            </a:schemeClr>
                          </a:solidFill>
                          <a:prstDash val="solid"/>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黑体" w:hAnsi="黑体" w:eastAsia="黑体" w:cs="黑体"/>
                                <w:b/>
                                <w:bCs/>
                                <w:color w:val="5B9BD5" w:themeColor="accent1"/>
                                <w:sz w:val="28"/>
                                <w:szCs w:val="36"/>
                                <w:lang w:val="en-US" w:eastAsia="zh-CN"/>
                                <w14:textFill>
                                  <w14:solidFill>
                                    <w14:schemeClr w14:val="accent1"/>
                                  </w14:solidFill>
                                </w14:textFill>
                              </w:rPr>
                            </w:pPr>
                            <w:r>
                              <w:rPr>
                                <w:rFonts w:hint="eastAsia" w:ascii="黑体" w:hAnsi="黑体" w:eastAsia="黑体" w:cs="黑体"/>
                                <w:b/>
                                <w:bCs/>
                                <w:color w:val="5B9BD5" w:themeColor="accent1"/>
                                <w:sz w:val="28"/>
                                <w:szCs w:val="36"/>
                                <w:lang w:val="en-US" w:eastAsia="zh-CN"/>
                                <w14:textFill>
                                  <w14:solidFill>
                                    <w14:schemeClr w14:val="accent1"/>
                                  </w14:solidFill>
                                </w14:textFill>
                              </w:rPr>
                              <w:t>开考前100分钟入场检测通道开启</w:t>
                            </w:r>
                          </w:p>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1.65pt;margin-top:1.75pt;height:40.5pt;width:475.45pt;z-index:251664384;mso-width-relative:page;mso-height-relative:page;" fillcolor="#FFFFFF [3201]" filled="t" stroked="t" coordsize="21600,21600" o:gfxdata="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F/0GgDYAAAACQEAAA8AAAAAAAAA&#10;AQAgAAAAIgAAAGRycy9kb3ducmV2LnhtbFBLAQIUABQAAAAIAIdO4kCL6XmvgwIAAAsFAAAOAAAA&#10;AAAAAAEAIAAAACcBAABkcnMvZTJvRG9jLnhtbFBLBQYAAAAABgAGAFkBAAAcBgAAAAA=&#10;">
                <v:fill on="t" focussize="0,0"/>
                <v:stroke weight="2.25pt" color="#41719C [3204]" joinstyle="round"/>
                <v:imagedata o:title=""/>
                <o:lock v:ext="edit" aspectratio="f"/>
                <v:textbox>
                  <w:txbxContent>
                    <w:p>
                      <w:pPr>
                        <w:jc w:val="center"/>
                        <w:rPr>
                          <w:rFonts w:hint="eastAsia" w:ascii="黑体" w:hAnsi="黑体" w:eastAsia="黑体" w:cs="黑体"/>
                          <w:b/>
                          <w:bCs/>
                          <w:color w:val="5B9BD5" w:themeColor="accent1"/>
                          <w:sz w:val="28"/>
                          <w:szCs w:val="36"/>
                          <w:lang w:val="en-US" w:eastAsia="zh-CN"/>
                          <w14:textFill>
                            <w14:solidFill>
                              <w14:schemeClr w14:val="accent1"/>
                            </w14:solidFill>
                          </w14:textFill>
                        </w:rPr>
                      </w:pPr>
                      <w:r>
                        <w:rPr>
                          <w:rFonts w:hint="eastAsia" w:ascii="黑体" w:hAnsi="黑体" w:eastAsia="黑体" w:cs="黑体"/>
                          <w:b/>
                          <w:bCs/>
                          <w:color w:val="5B9BD5" w:themeColor="accent1"/>
                          <w:sz w:val="28"/>
                          <w:szCs w:val="36"/>
                          <w:lang w:val="en-US" w:eastAsia="zh-CN"/>
                          <w14:textFill>
                            <w14:solidFill>
                              <w14:schemeClr w14:val="accent1"/>
                            </w14:solidFill>
                          </w14:textFill>
                        </w:rPr>
                        <w:t>开考前100分钟入场检测通道开启</w:t>
                      </w:r>
                    </w:p>
                    <w:p>
                      <w:pPr>
                        <w:rPr>
                          <w:rFonts w:hint="eastAsia"/>
                          <w:lang w:val="en-US" w:eastAsia="zh-CN"/>
                        </w:rPr>
                      </w:pPr>
                    </w:p>
                  </w:txbxContent>
                </v:textbox>
              </v:shape>
            </w:pict>
          </mc:Fallback>
        </mc:AlternateContent>
      </w:r>
    </w:p>
    <w:p/>
    <w:p/>
    <w:p>
      <w:r>
        <w:rPr>
          <w:sz w:val="21"/>
        </w:rPr>
        <mc:AlternateContent>
          <mc:Choice Requires="wps">
            <w:drawing>
              <wp:anchor distT="0" distB="0" distL="114300" distR="114300" simplePos="0" relativeHeight="251767808" behindDoc="0" locked="0" layoutInCell="1" allowOverlap="1">
                <wp:simplePos x="0" y="0"/>
                <wp:positionH relativeFrom="column">
                  <wp:posOffset>4406265</wp:posOffset>
                </wp:positionH>
                <wp:positionV relativeFrom="paragraph">
                  <wp:posOffset>198755</wp:posOffset>
                </wp:positionV>
                <wp:extent cx="961390" cy="1114425"/>
                <wp:effectExtent l="5080" t="4445" r="5080" b="5080"/>
                <wp:wrapNone/>
                <wp:docPr id="13" name="文本框 13"/>
                <wp:cNvGraphicFramePr/>
                <a:graphic xmlns:a="http://schemas.openxmlformats.org/drawingml/2006/main">
                  <a:graphicData uri="http://schemas.microsoft.com/office/word/2010/wordprocessingShape">
                    <wps:wsp>
                      <wps:cNvSpPr txBox="1"/>
                      <wps:spPr>
                        <a:xfrm>
                          <a:off x="0" y="0"/>
                          <a:ext cx="961390" cy="11144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color w:val="5B9BD5" w:themeColor="accent1"/>
                                <w:sz w:val="20"/>
                                <w:szCs w:val="20"/>
                                <w:lang w:val="en-US" w:eastAsia="zh-CN"/>
                                <w14:textFill>
                                  <w14:solidFill>
                                    <w14:schemeClr w14:val="accent1"/>
                                  </w14:solidFill>
                                </w14:textFill>
                              </w:rPr>
                            </w:pPr>
                            <w:r>
                              <w:rPr>
                                <w:rFonts w:hint="eastAsia"/>
                                <w:b/>
                                <w:bCs/>
                                <w:color w:val="70AD47" w:themeColor="accent6"/>
                                <w:sz w:val="24"/>
                                <w:szCs w:val="24"/>
                                <w:lang w:val="en-US" w:eastAsia="zh-CN"/>
                                <w14:textFill>
                                  <w14:solidFill>
                                    <w14:schemeClr w14:val="accent6"/>
                                  </w14:solidFill>
                                </w14:textFill>
                              </w:rPr>
                              <w:t>贵州省内</w:t>
                            </w:r>
                            <w:r>
                              <w:rPr>
                                <w:rFonts w:hint="eastAsia"/>
                                <w:b/>
                                <w:bCs/>
                                <w:color w:val="5B9BD5" w:themeColor="accent1"/>
                                <w:sz w:val="20"/>
                                <w:szCs w:val="20"/>
                                <w:lang w:val="en-US" w:eastAsia="zh-CN"/>
                                <w14:textFill>
                                  <w14:solidFill>
                                    <w14:schemeClr w14:val="accent1"/>
                                  </w14:solidFill>
                                </w14:textFill>
                              </w:rPr>
                              <w:t>考前48小时内</w:t>
                            </w:r>
                            <w:r>
                              <w:rPr>
                                <w:rFonts w:hint="eastAsia"/>
                                <w:b/>
                                <w:bCs/>
                                <w:color w:val="70AD47" w:themeColor="accent6"/>
                                <w:sz w:val="22"/>
                                <w:szCs w:val="22"/>
                                <w:lang w:val="en-US" w:eastAsia="zh-CN"/>
                                <w14:textFill>
                                  <w14:solidFill>
                                    <w14:schemeClr w14:val="accent6"/>
                                  </w14:solidFill>
                                </w14:textFill>
                              </w:rPr>
                              <w:t>1次</w:t>
                            </w:r>
                            <w:r>
                              <w:rPr>
                                <w:rFonts w:hint="eastAsia"/>
                                <w:b/>
                                <w:bCs/>
                                <w:color w:val="5B9BD5" w:themeColor="accent1"/>
                                <w:sz w:val="20"/>
                                <w:szCs w:val="20"/>
                                <w:lang w:val="en-US" w:eastAsia="zh-CN"/>
                                <w14:textFill>
                                  <w14:solidFill>
                                    <w14:schemeClr w14:val="accent1"/>
                                  </w14:solidFill>
                                </w14:textFill>
                              </w:rPr>
                              <w:t>核酸检测阴性证明</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6.95pt;margin-top:15.65pt;height:87.75pt;width:75.7pt;z-index:251767808;mso-width-relative:page;mso-height-relative:page;" fillcolor="#FFFFFF [3201]" filled="t" stroked="t" coordsize="21600,21600" o:gfxdata="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dezzGtcAAAAK&#10;AQAADwAAAAAAAAABACAAAAAiAAAAZHJzL2Rvd25yZXYueG1sUEsBAhQAFAAAAAgAh07iQLhaB5JW&#10;AgAAuQQAAA4AAAAAAAAAAQAgAAAAJgEAAGRycy9lMm9Eb2MueG1sUEsFBgAAAAAGAAYAWQEAAO4F&#10;AAAAAA==&#10;">
                <v:fill on="t" focussize="0,0"/>
                <v:stroke weight="0.5pt" color="#000000 [3204]" joinstyle="round"/>
                <v:imagedata o:title=""/>
                <o:lock v:ext="edit" aspectratio="f"/>
                <v:textbox>
                  <w:txbxContent>
                    <w:p>
                      <w:pPr>
                        <w:jc w:val="center"/>
                        <w:rPr>
                          <w:rFonts w:hint="eastAsia"/>
                          <w:b/>
                          <w:bCs/>
                          <w:color w:val="5B9BD5" w:themeColor="accent1"/>
                          <w:sz w:val="20"/>
                          <w:szCs w:val="20"/>
                          <w:lang w:val="en-US" w:eastAsia="zh-CN"/>
                          <w14:textFill>
                            <w14:solidFill>
                              <w14:schemeClr w14:val="accent1"/>
                            </w14:solidFill>
                          </w14:textFill>
                        </w:rPr>
                      </w:pPr>
                      <w:r>
                        <w:rPr>
                          <w:rFonts w:hint="eastAsia"/>
                          <w:b/>
                          <w:bCs/>
                          <w:color w:val="70AD47" w:themeColor="accent6"/>
                          <w:sz w:val="24"/>
                          <w:szCs w:val="24"/>
                          <w:lang w:val="en-US" w:eastAsia="zh-CN"/>
                          <w14:textFill>
                            <w14:solidFill>
                              <w14:schemeClr w14:val="accent6"/>
                            </w14:solidFill>
                          </w14:textFill>
                        </w:rPr>
                        <w:t>贵州省内</w:t>
                      </w:r>
                      <w:r>
                        <w:rPr>
                          <w:rFonts w:hint="eastAsia"/>
                          <w:b/>
                          <w:bCs/>
                          <w:color w:val="5B9BD5" w:themeColor="accent1"/>
                          <w:sz w:val="20"/>
                          <w:szCs w:val="20"/>
                          <w:lang w:val="en-US" w:eastAsia="zh-CN"/>
                          <w14:textFill>
                            <w14:solidFill>
                              <w14:schemeClr w14:val="accent1"/>
                            </w14:solidFill>
                          </w14:textFill>
                        </w:rPr>
                        <w:t>考前48小时内</w:t>
                      </w:r>
                      <w:r>
                        <w:rPr>
                          <w:rFonts w:hint="eastAsia"/>
                          <w:b/>
                          <w:bCs/>
                          <w:color w:val="70AD47" w:themeColor="accent6"/>
                          <w:sz w:val="22"/>
                          <w:szCs w:val="22"/>
                          <w:lang w:val="en-US" w:eastAsia="zh-CN"/>
                          <w14:textFill>
                            <w14:solidFill>
                              <w14:schemeClr w14:val="accent6"/>
                            </w14:solidFill>
                          </w14:textFill>
                        </w:rPr>
                        <w:t>1次</w:t>
                      </w:r>
                      <w:r>
                        <w:rPr>
                          <w:rFonts w:hint="eastAsia"/>
                          <w:b/>
                          <w:bCs/>
                          <w:color w:val="5B9BD5" w:themeColor="accent1"/>
                          <w:sz w:val="20"/>
                          <w:szCs w:val="20"/>
                          <w:lang w:val="en-US" w:eastAsia="zh-CN"/>
                          <w14:textFill>
                            <w14:solidFill>
                              <w14:schemeClr w14:val="accent1"/>
                            </w14:solidFill>
                          </w14:textFill>
                        </w:rPr>
                        <w:t>核酸检测阴性证明</w:t>
                      </w:r>
                    </w:p>
                  </w:txbxContent>
                </v:textbox>
              </v:shape>
            </w:pict>
          </mc:Fallback>
        </mc:AlternateContent>
      </w:r>
      <w:r>
        <w:rPr>
          <w:sz w:val="21"/>
        </w:rPr>
        <mc:AlternateContent>
          <mc:Choice Requires="wps">
            <w:drawing>
              <wp:anchor distT="0" distB="0" distL="114300" distR="114300" simplePos="0" relativeHeight="251796480" behindDoc="0" locked="0" layoutInCell="1" allowOverlap="1">
                <wp:simplePos x="0" y="0"/>
                <wp:positionH relativeFrom="column">
                  <wp:posOffset>3168650</wp:posOffset>
                </wp:positionH>
                <wp:positionV relativeFrom="paragraph">
                  <wp:posOffset>203835</wp:posOffset>
                </wp:positionV>
                <wp:extent cx="337820" cy="1135380"/>
                <wp:effectExtent l="6350" t="6350" r="17780" b="20320"/>
                <wp:wrapNone/>
                <wp:docPr id="7" name="文本框 7"/>
                <wp:cNvGraphicFramePr/>
                <a:graphic xmlns:a="http://schemas.openxmlformats.org/drawingml/2006/main">
                  <a:graphicData uri="http://schemas.microsoft.com/office/word/2010/wordprocessingShape">
                    <wps:wsp>
                      <wps:cNvSpPr txBox="1"/>
                      <wps:spPr>
                        <a:xfrm>
                          <a:off x="0" y="0"/>
                          <a:ext cx="337820" cy="1135380"/>
                        </a:xfrm>
                        <a:prstGeom prst="rect">
                          <a:avLst/>
                        </a:prstGeom>
                        <a:solidFill>
                          <a:schemeClr val="lt1"/>
                        </a:solidFill>
                        <a:ln w="12700" cmpd="sng">
                          <a:solidFill>
                            <a:schemeClr val="accent1">
                              <a:shade val="50000"/>
                            </a:schemeClr>
                          </a:solidFill>
                          <a:prstDash val="sysDot"/>
                        </a:ln>
                      </wps:spPr>
                      <wps:style>
                        <a:lnRef idx="0">
                          <a:schemeClr val="accent1"/>
                        </a:lnRef>
                        <a:fillRef idx="0">
                          <a:schemeClr val="accent1"/>
                        </a:fillRef>
                        <a:effectRef idx="0">
                          <a:schemeClr val="accent1"/>
                        </a:effectRef>
                        <a:fontRef idx="minor">
                          <a:schemeClr val="dk1"/>
                        </a:fontRef>
                      </wps:style>
                      <wps:txbx>
                        <w:txbxContent>
                          <w:p>
                            <w:pPr>
                              <w:jc w:val="both"/>
                              <w:rPr>
                                <w:rFonts w:hint="eastAsia" w:ascii="黑体" w:hAnsi="黑体" w:eastAsia="黑体" w:cs="黑体"/>
                                <w:b/>
                                <w:bCs/>
                                <w:color w:val="5B9BD5" w:themeColor="accent1"/>
                                <w:sz w:val="21"/>
                                <w:szCs w:val="21"/>
                                <w:lang w:val="en-US" w:eastAsia="zh-CN"/>
                                <w14:textFill>
                                  <w14:solidFill>
                                    <w14:schemeClr w14:val="accent1"/>
                                  </w14:solidFill>
                                </w14:textFill>
                              </w:rPr>
                            </w:pPr>
                            <w:r>
                              <w:rPr>
                                <w:rFonts w:hint="eastAsia" w:ascii="黑体" w:hAnsi="黑体" w:eastAsia="黑体" w:cs="黑体"/>
                                <w:b/>
                                <w:bCs/>
                                <w:color w:val="5B9BD5" w:themeColor="accent1"/>
                                <w:sz w:val="21"/>
                                <w:szCs w:val="21"/>
                                <w:lang w:val="en-US" w:eastAsia="zh-CN"/>
                                <w14:textFill>
                                  <w14:solidFill>
                                    <w14:schemeClr w14:val="accent1"/>
                                  </w14:solidFill>
                                </w14:textFill>
                              </w:rPr>
                              <w:t>场</w:t>
                            </w:r>
                          </w:p>
                          <w:p>
                            <w:pPr>
                              <w:jc w:val="both"/>
                              <w:rPr>
                                <w:rFonts w:hint="eastAsia" w:ascii="黑体" w:hAnsi="黑体" w:eastAsia="黑体" w:cs="黑体"/>
                                <w:b/>
                                <w:bCs/>
                                <w:color w:val="5B9BD5" w:themeColor="accent1"/>
                                <w:sz w:val="21"/>
                                <w:szCs w:val="21"/>
                                <w:lang w:val="en-US" w:eastAsia="zh-CN"/>
                                <w14:textFill>
                                  <w14:solidFill>
                                    <w14:schemeClr w14:val="accent1"/>
                                  </w14:solidFill>
                                </w14:textFill>
                              </w:rPr>
                            </w:pPr>
                          </w:p>
                          <w:p>
                            <w:pPr>
                              <w:jc w:val="both"/>
                              <w:rPr>
                                <w:rFonts w:hint="eastAsia" w:ascii="黑体" w:hAnsi="黑体" w:eastAsia="黑体" w:cs="黑体"/>
                                <w:b/>
                                <w:bCs/>
                                <w:color w:val="5B9BD5" w:themeColor="accent1"/>
                                <w:sz w:val="21"/>
                                <w:szCs w:val="21"/>
                                <w:lang w:val="en-US" w:eastAsia="zh-CN"/>
                                <w14:textFill>
                                  <w14:solidFill>
                                    <w14:schemeClr w14:val="accent1"/>
                                  </w14:solidFill>
                                </w14:textFill>
                              </w:rPr>
                            </w:pPr>
                            <w:r>
                              <w:rPr>
                                <w:rFonts w:hint="eastAsia" w:ascii="黑体" w:hAnsi="黑体" w:eastAsia="黑体" w:cs="黑体"/>
                                <w:b/>
                                <w:bCs/>
                                <w:color w:val="5B9BD5" w:themeColor="accent1"/>
                                <w:sz w:val="21"/>
                                <w:szCs w:val="21"/>
                                <w:lang w:val="en-US" w:eastAsia="zh-CN"/>
                                <w14:textFill>
                                  <w14:solidFill>
                                    <w14:schemeClr w14:val="accent1"/>
                                  </w14:solidFill>
                                </w14:textFill>
                              </w:rPr>
                              <w:t>所</w:t>
                            </w:r>
                          </w:p>
                          <w:p>
                            <w:pPr>
                              <w:jc w:val="both"/>
                              <w:rPr>
                                <w:rFonts w:hint="eastAsia" w:ascii="黑体" w:hAnsi="黑体" w:eastAsia="黑体" w:cs="黑体"/>
                                <w:b/>
                                <w:bCs/>
                                <w:color w:val="5B9BD5" w:themeColor="accent1"/>
                                <w:sz w:val="21"/>
                                <w:szCs w:val="21"/>
                                <w:lang w:val="en-US" w:eastAsia="zh-CN"/>
                                <w14:textFill>
                                  <w14:solidFill>
                                    <w14:schemeClr w14:val="accent1"/>
                                  </w14:solidFill>
                                </w14:textFill>
                              </w:rPr>
                            </w:pPr>
                          </w:p>
                          <w:p>
                            <w:pPr>
                              <w:jc w:val="both"/>
                              <w:rPr>
                                <w:rFonts w:hint="eastAsia" w:ascii="黑体" w:hAnsi="黑体" w:eastAsia="黑体" w:cs="黑体"/>
                                <w:b/>
                                <w:bCs/>
                                <w:color w:val="5B9BD5" w:themeColor="accent1"/>
                                <w:sz w:val="22"/>
                                <w:szCs w:val="22"/>
                                <w:lang w:val="en-US" w:eastAsia="zh-CN"/>
                                <w14:textFill>
                                  <w14:solidFill>
                                    <w14:schemeClr w14:val="accent1"/>
                                  </w14:solidFill>
                                </w14:textFill>
                              </w:rPr>
                            </w:pPr>
                            <w:r>
                              <w:rPr>
                                <w:rFonts w:hint="eastAsia" w:ascii="黑体" w:hAnsi="黑体" w:eastAsia="黑体" w:cs="黑体"/>
                                <w:b/>
                                <w:bCs/>
                                <w:color w:val="5B9BD5" w:themeColor="accent1"/>
                                <w:sz w:val="21"/>
                                <w:szCs w:val="21"/>
                                <w:lang w:val="en-US" w:eastAsia="zh-CN"/>
                                <w14:textFill>
                                  <w14:solidFill>
                                    <w14:schemeClr w14:val="accent1"/>
                                  </w14:solidFill>
                                </w14:textFill>
                              </w:rPr>
                              <w:t>码</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9.5pt;margin-top:16.05pt;height:89.4pt;width:26.6pt;z-index:251796480;mso-width-relative:page;mso-height-relative:page;" fillcolor="#FFFFFF [3201]" filled="t" stroked="t" coordsize="21600,21600" o:gfxdata="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GCWjSjaAAAACgEAAA8AAAAAAAAAAQAgAAAA&#10;IgAAAGRycy9kb3ducmV2LnhtbFBLAQIUABQAAAAIAIdO4kCeYPA/ewIAAP8EAAAOAAAAAAAAAAEA&#10;IAAAACkBAABkcnMvZTJvRG9jLnhtbFBLBQYAAAAABgAGAFkBAAAWBgAAAAA=&#10;">
                <v:fill on="t" focussize="0,0"/>
                <v:stroke weight="1pt" color="#41719C [3204]" joinstyle="round" dashstyle="1 1"/>
                <v:imagedata o:title=""/>
                <o:lock v:ext="edit" aspectratio="f"/>
                <v:textbox>
                  <w:txbxContent>
                    <w:p>
                      <w:pPr>
                        <w:jc w:val="both"/>
                        <w:rPr>
                          <w:rFonts w:hint="eastAsia" w:ascii="黑体" w:hAnsi="黑体" w:eastAsia="黑体" w:cs="黑体"/>
                          <w:b/>
                          <w:bCs/>
                          <w:color w:val="5B9BD5" w:themeColor="accent1"/>
                          <w:sz w:val="21"/>
                          <w:szCs w:val="21"/>
                          <w:lang w:val="en-US" w:eastAsia="zh-CN"/>
                          <w14:textFill>
                            <w14:solidFill>
                              <w14:schemeClr w14:val="accent1"/>
                            </w14:solidFill>
                          </w14:textFill>
                        </w:rPr>
                      </w:pPr>
                      <w:r>
                        <w:rPr>
                          <w:rFonts w:hint="eastAsia" w:ascii="黑体" w:hAnsi="黑体" w:eastAsia="黑体" w:cs="黑体"/>
                          <w:b/>
                          <w:bCs/>
                          <w:color w:val="5B9BD5" w:themeColor="accent1"/>
                          <w:sz w:val="21"/>
                          <w:szCs w:val="21"/>
                          <w:lang w:val="en-US" w:eastAsia="zh-CN"/>
                          <w14:textFill>
                            <w14:solidFill>
                              <w14:schemeClr w14:val="accent1"/>
                            </w14:solidFill>
                          </w14:textFill>
                        </w:rPr>
                        <w:t>场</w:t>
                      </w:r>
                    </w:p>
                    <w:p>
                      <w:pPr>
                        <w:jc w:val="both"/>
                        <w:rPr>
                          <w:rFonts w:hint="eastAsia" w:ascii="黑体" w:hAnsi="黑体" w:eastAsia="黑体" w:cs="黑体"/>
                          <w:b/>
                          <w:bCs/>
                          <w:color w:val="5B9BD5" w:themeColor="accent1"/>
                          <w:sz w:val="21"/>
                          <w:szCs w:val="21"/>
                          <w:lang w:val="en-US" w:eastAsia="zh-CN"/>
                          <w14:textFill>
                            <w14:solidFill>
                              <w14:schemeClr w14:val="accent1"/>
                            </w14:solidFill>
                          </w14:textFill>
                        </w:rPr>
                      </w:pPr>
                    </w:p>
                    <w:p>
                      <w:pPr>
                        <w:jc w:val="both"/>
                        <w:rPr>
                          <w:rFonts w:hint="eastAsia" w:ascii="黑体" w:hAnsi="黑体" w:eastAsia="黑体" w:cs="黑体"/>
                          <w:b/>
                          <w:bCs/>
                          <w:color w:val="5B9BD5" w:themeColor="accent1"/>
                          <w:sz w:val="21"/>
                          <w:szCs w:val="21"/>
                          <w:lang w:val="en-US" w:eastAsia="zh-CN"/>
                          <w14:textFill>
                            <w14:solidFill>
                              <w14:schemeClr w14:val="accent1"/>
                            </w14:solidFill>
                          </w14:textFill>
                        </w:rPr>
                      </w:pPr>
                      <w:r>
                        <w:rPr>
                          <w:rFonts w:hint="eastAsia" w:ascii="黑体" w:hAnsi="黑体" w:eastAsia="黑体" w:cs="黑体"/>
                          <w:b/>
                          <w:bCs/>
                          <w:color w:val="5B9BD5" w:themeColor="accent1"/>
                          <w:sz w:val="21"/>
                          <w:szCs w:val="21"/>
                          <w:lang w:val="en-US" w:eastAsia="zh-CN"/>
                          <w14:textFill>
                            <w14:solidFill>
                              <w14:schemeClr w14:val="accent1"/>
                            </w14:solidFill>
                          </w14:textFill>
                        </w:rPr>
                        <w:t>所</w:t>
                      </w:r>
                    </w:p>
                    <w:p>
                      <w:pPr>
                        <w:jc w:val="both"/>
                        <w:rPr>
                          <w:rFonts w:hint="eastAsia" w:ascii="黑体" w:hAnsi="黑体" w:eastAsia="黑体" w:cs="黑体"/>
                          <w:b/>
                          <w:bCs/>
                          <w:color w:val="5B9BD5" w:themeColor="accent1"/>
                          <w:sz w:val="21"/>
                          <w:szCs w:val="21"/>
                          <w:lang w:val="en-US" w:eastAsia="zh-CN"/>
                          <w14:textFill>
                            <w14:solidFill>
                              <w14:schemeClr w14:val="accent1"/>
                            </w14:solidFill>
                          </w14:textFill>
                        </w:rPr>
                      </w:pPr>
                    </w:p>
                    <w:p>
                      <w:pPr>
                        <w:jc w:val="both"/>
                        <w:rPr>
                          <w:rFonts w:hint="eastAsia" w:ascii="黑体" w:hAnsi="黑体" w:eastAsia="黑体" w:cs="黑体"/>
                          <w:b/>
                          <w:bCs/>
                          <w:color w:val="5B9BD5" w:themeColor="accent1"/>
                          <w:sz w:val="22"/>
                          <w:szCs w:val="22"/>
                          <w:lang w:val="en-US" w:eastAsia="zh-CN"/>
                          <w14:textFill>
                            <w14:solidFill>
                              <w14:schemeClr w14:val="accent1"/>
                            </w14:solidFill>
                          </w14:textFill>
                        </w:rPr>
                      </w:pPr>
                      <w:r>
                        <w:rPr>
                          <w:rFonts w:hint="eastAsia" w:ascii="黑体" w:hAnsi="黑体" w:eastAsia="黑体" w:cs="黑体"/>
                          <w:b/>
                          <w:bCs/>
                          <w:color w:val="5B9BD5" w:themeColor="accent1"/>
                          <w:sz w:val="21"/>
                          <w:szCs w:val="21"/>
                          <w:lang w:val="en-US" w:eastAsia="zh-CN"/>
                          <w14:textFill>
                            <w14:solidFill>
                              <w14:schemeClr w14:val="accent1"/>
                            </w14:solidFill>
                          </w14:textFill>
                        </w:rPr>
                        <w:t>码</w:t>
                      </w:r>
                    </w:p>
                  </w:txbxContent>
                </v:textbox>
              </v:shape>
            </w:pict>
          </mc:Fallback>
        </mc:AlternateContent>
      </w:r>
    </w:p>
    <w:p>
      <w:r>
        <w:rPr>
          <w:sz w:val="21"/>
        </w:rPr>
        <mc:AlternateContent>
          <mc:Choice Requires="wps">
            <w:drawing>
              <wp:anchor distT="0" distB="0" distL="114300" distR="114300" simplePos="0" relativeHeight="251682816" behindDoc="0" locked="0" layoutInCell="1" allowOverlap="1">
                <wp:simplePos x="0" y="0"/>
                <wp:positionH relativeFrom="column">
                  <wp:posOffset>2335530</wp:posOffset>
                </wp:positionH>
                <wp:positionV relativeFrom="paragraph">
                  <wp:posOffset>5080</wp:posOffset>
                </wp:positionV>
                <wp:extent cx="819150" cy="1114425"/>
                <wp:effectExtent l="5080" t="4445" r="13970" b="5080"/>
                <wp:wrapNone/>
                <wp:docPr id="52" name="文本框 52"/>
                <wp:cNvGraphicFramePr/>
                <a:graphic xmlns:a="http://schemas.openxmlformats.org/drawingml/2006/main">
                  <a:graphicData uri="http://schemas.microsoft.com/office/word/2010/wordprocessingShape">
                    <wps:wsp>
                      <wps:cNvSpPr txBox="1"/>
                      <wps:spPr>
                        <a:xfrm>
                          <a:off x="0" y="0"/>
                          <a:ext cx="819150" cy="11144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rPr>
                                <w:rFonts w:hint="eastAsia" w:eastAsiaTheme="minorEastAsia"/>
                                <w:lang w:eastAsia="zh-CN"/>
                              </w:rPr>
                            </w:pPr>
                            <w:r>
                              <w:drawing>
                                <wp:inline distT="0" distB="0" distL="114300" distR="114300">
                                  <wp:extent cx="628015" cy="801370"/>
                                  <wp:effectExtent l="0" t="0" r="635" b="1778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5"/>
                                          <a:stretch>
                                            <a:fillRect/>
                                          </a:stretch>
                                        </pic:blipFill>
                                        <pic:spPr>
                                          <a:xfrm>
                                            <a:off x="0" y="0"/>
                                            <a:ext cx="628015" cy="80137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3.9pt;margin-top:0.4pt;height:87.75pt;width:64.5pt;z-index:251682816;mso-width-relative:page;mso-height-relative:page;" fillcolor="#FFFFFF [3201]" filled="t" stroked="t" coordsize="21600,21600" o:gfxdata="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LuIR3zVAAAACAEA&#10;AA8AAAAAAAAAAQAgAAAAIgAAAGRycy9kb3ducmV2LnhtbFBLAQIUABQAAAAIAIdO4kAMKquCVgIA&#10;ALkEAAAOAAAAAAAAAAEAIAAAACQBAABkcnMvZTJvRG9jLnhtbFBLBQYAAAAABgAGAFkBAADsBQAA&#10;AAA=&#10;">
                <v:fill on="t" focussize="0,0"/>
                <v:stroke weight="0.5pt" color="#000000 [3204]" joinstyle="round"/>
                <v:imagedata o:title=""/>
                <o:lock v:ext="edit" aspectratio="f"/>
                <v:textbox>
                  <w:txbxContent>
                    <w:p>
                      <w:pPr>
                        <w:jc w:val="left"/>
                        <w:rPr>
                          <w:rFonts w:hint="eastAsia" w:eastAsiaTheme="minorEastAsia"/>
                          <w:lang w:eastAsia="zh-CN"/>
                        </w:rPr>
                      </w:pPr>
                      <w:r>
                        <w:drawing>
                          <wp:inline distT="0" distB="0" distL="114300" distR="114300">
                            <wp:extent cx="628015" cy="801370"/>
                            <wp:effectExtent l="0" t="0" r="635" b="1778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5"/>
                                    <a:stretch>
                                      <a:fillRect/>
                                    </a:stretch>
                                  </pic:blipFill>
                                  <pic:spPr>
                                    <a:xfrm>
                                      <a:off x="0" y="0"/>
                                      <a:ext cx="628015" cy="801370"/>
                                    </a:xfrm>
                                    <a:prstGeom prst="rect">
                                      <a:avLst/>
                                    </a:prstGeom>
                                    <a:noFill/>
                                    <a:ln>
                                      <a:noFill/>
                                    </a:ln>
                                  </pic:spPr>
                                </pic:pic>
                              </a:graphicData>
                            </a:graphic>
                          </wp:inline>
                        </w:drawing>
                      </w:r>
                    </w:p>
                  </w:txbxContent>
                </v:textbox>
              </v:shape>
            </w:pict>
          </mc:Fallback>
        </mc:AlternateContent>
      </w:r>
    </w:p>
    <w:p/>
    <w:p/>
    <w:p>
      <w:r>
        <w:rPr>
          <w:sz w:val="21"/>
        </w:rPr>
        <mc:AlternateContent>
          <mc:Choice Requires="wps">
            <w:drawing>
              <wp:anchor distT="0" distB="0" distL="114300" distR="114300" simplePos="0" relativeHeight="251676672" behindDoc="0" locked="0" layoutInCell="1" allowOverlap="1">
                <wp:simplePos x="0" y="0"/>
                <wp:positionH relativeFrom="column">
                  <wp:posOffset>1678305</wp:posOffset>
                </wp:positionH>
                <wp:positionV relativeFrom="paragraph">
                  <wp:posOffset>186690</wp:posOffset>
                </wp:positionV>
                <wp:extent cx="504825" cy="1638300"/>
                <wp:effectExtent l="0" t="0" r="0" b="0"/>
                <wp:wrapNone/>
                <wp:docPr id="45" name="文本框 45"/>
                <wp:cNvGraphicFramePr/>
                <a:graphic xmlns:a="http://schemas.openxmlformats.org/drawingml/2006/main">
                  <a:graphicData uri="http://schemas.microsoft.com/office/word/2010/wordprocessingShape">
                    <wps:wsp>
                      <wps:cNvSpPr txBox="1"/>
                      <wps:spPr>
                        <a:xfrm>
                          <a:off x="2636520" y="4612005"/>
                          <a:ext cx="504825" cy="16383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楷体_GB2312" w:hAnsi="楷体_GB2312" w:eastAsia="楷体_GB2312" w:cs="楷体_GB2312"/>
                                <w:b/>
                                <w:bCs/>
                                <w:color w:val="5B9BD5" w:themeColor="accent1"/>
                                <w:sz w:val="40"/>
                                <w:szCs w:val="48"/>
                                <w:lang w:val="en-US" w:eastAsia="zh-CN"/>
                                <w14:textFill>
                                  <w14:noFill/>
                                </w14:textFill>
                              </w:rPr>
                            </w:pPr>
                            <w:r>
                              <w:rPr>
                                <w:rFonts w:hint="eastAsia" w:ascii="黑体" w:hAnsi="黑体" w:eastAsia="黑体" w:cs="黑体"/>
                                <w:b/>
                                <w:bCs/>
                                <w:color w:val="5B9BD5" w:themeColor="accent1"/>
                                <w:sz w:val="40"/>
                                <w:szCs w:val="48"/>
                                <w:lang w:val="en-US" w:eastAsia="zh-CN"/>
                                <w14:textFill>
                                  <w14:solidFill>
                                    <w14:schemeClr w14:val="accent1"/>
                                  </w14:solidFill>
                                </w14:textFill>
                              </w:rPr>
                              <w:t>同 时 检 测</w:t>
                            </w:r>
                          </w:p>
                        </w:txbxContent>
                      </wps:txbx>
                      <wps:bodyPr rot="0" spcFirstLastPara="0" vertOverflow="overflow" horzOverflow="overflow" vert="eaVert"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2.15pt;margin-top:14.7pt;height:129pt;width:39.75pt;z-index:251676672;mso-width-relative:page;mso-height-relative:page;" filled="f" stroked="f" coordsize="21600,21600" o:gfxdata="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MKqoD9kAAAAKAQAADwAAAAAA&#10;AAABACAAAAAiAAAAZHJzL2Rvd25yZXYueG1sUEsBAhQAFAAAAAgAh07iQG35YC5LAgAAdgQAAA4A&#10;AAAAAAAAAQAgAAAAKAEAAGRycy9lMm9Eb2MueG1sUEsFBgAAAAAGAAYAWQEAAOUFAAAAAA==&#10;">
                <v:fill on="f" focussize="0,0"/>
                <v:stroke on="f" weight="0.5pt"/>
                <v:imagedata o:title=""/>
                <o:lock v:ext="edit" aspectratio="f"/>
                <v:textbox style="layout-flow:vertical-ideographic;">
                  <w:txbxContent>
                    <w:p>
                      <w:pPr>
                        <w:jc w:val="center"/>
                        <w:rPr>
                          <w:rFonts w:hint="eastAsia" w:ascii="楷体_GB2312" w:hAnsi="楷体_GB2312" w:eastAsia="楷体_GB2312" w:cs="楷体_GB2312"/>
                          <w:b/>
                          <w:bCs/>
                          <w:color w:val="5B9BD5" w:themeColor="accent1"/>
                          <w:sz w:val="40"/>
                          <w:szCs w:val="48"/>
                          <w:lang w:val="en-US" w:eastAsia="zh-CN"/>
                          <w14:textFill>
                            <w14:noFill/>
                          </w14:textFill>
                        </w:rPr>
                      </w:pPr>
                      <w:r>
                        <w:rPr>
                          <w:rFonts w:hint="eastAsia" w:ascii="黑体" w:hAnsi="黑体" w:eastAsia="黑体" w:cs="黑体"/>
                          <w:b/>
                          <w:bCs/>
                          <w:color w:val="5B9BD5" w:themeColor="accent1"/>
                          <w:sz w:val="40"/>
                          <w:szCs w:val="48"/>
                          <w:lang w:val="en-US" w:eastAsia="zh-CN"/>
                          <w14:textFill>
                            <w14:solidFill>
                              <w14:schemeClr w14:val="accent1"/>
                            </w14:solidFill>
                          </w14:textFill>
                        </w:rPr>
                        <w:t>同 时 检 测</w:t>
                      </w:r>
                    </w:p>
                  </w:txbxContent>
                </v:textbox>
              </v:shape>
            </w:pict>
          </mc:Fallback>
        </mc:AlternateContent>
      </w:r>
    </w:p>
    <w:p>
      <w:pPr>
        <w:rPr>
          <w:color w:val="5B9BD5" w:themeColor="accent1"/>
          <w14:textFill>
            <w14:solidFill>
              <w14:schemeClr w14:val="accent1"/>
            </w14:solidFill>
          </w14:textFill>
        </w:rPr>
      </w:pPr>
      <w:r>
        <w:rPr>
          <w:sz w:val="21"/>
        </w:rPr>
        <mc:AlternateContent>
          <mc:Choice Requires="wps">
            <w:drawing>
              <wp:anchor distT="0" distB="0" distL="114300" distR="114300" simplePos="0" relativeHeight="251679744" behindDoc="0" locked="0" layoutInCell="1" allowOverlap="1">
                <wp:simplePos x="0" y="0"/>
                <wp:positionH relativeFrom="column">
                  <wp:posOffset>6158230</wp:posOffset>
                </wp:positionH>
                <wp:positionV relativeFrom="paragraph">
                  <wp:posOffset>72390</wp:posOffset>
                </wp:positionV>
                <wp:extent cx="1678940" cy="986790"/>
                <wp:effectExtent l="6350" t="15240" r="10160" b="26670"/>
                <wp:wrapNone/>
                <wp:docPr id="49" name="右箭头 49"/>
                <wp:cNvGraphicFramePr/>
                <a:graphic xmlns:a="http://schemas.openxmlformats.org/drawingml/2006/main">
                  <a:graphicData uri="http://schemas.microsoft.com/office/word/2010/wordprocessingShape">
                    <wps:wsp>
                      <wps:cNvSpPr/>
                      <wps:spPr>
                        <a:xfrm>
                          <a:off x="7437120" y="4954905"/>
                          <a:ext cx="1678940" cy="986790"/>
                        </a:xfrm>
                        <a:prstGeom prst="rightArrow">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3" type="#_x0000_t13" style="position:absolute;left:0pt;margin-left:484.9pt;margin-top:5.7pt;height:77.7pt;width:132.2pt;z-index:251679744;v-text-anchor:middle;mso-width-relative:page;mso-height-relative:page;" fillcolor="#FFFFFF [3212]" filled="t" stroked="t" coordsize="21600,21600" o:gfxdata="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" adj="15253,5400">
                <v:fill on="t" focussize="0,0"/>
                <v:stroke weight="1pt" color="#41719C [3204]" miterlimit="8" joinstyle="miter"/>
                <v:imagedata o:title=""/>
                <o:lock v:ext="edit" aspectratio="f"/>
              </v:shape>
            </w:pict>
          </mc:Fallback>
        </mc:AlternateContent>
      </w:r>
    </w:p>
    <w:p>
      <w:pPr>
        <w:rPr>
          <w:rFonts w:hint="eastAsia" w:ascii="仿宋_GB2312" w:hAnsi="仿宋_GB2312" w:eastAsia="仿宋_GB2312" w:cs="仿宋_GB2312"/>
          <w:sz w:val="32"/>
          <w:szCs w:val="40"/>
          <w:lang w:val="en-US" w:eastAsia="zh-CN"/>
        </w:rPr>
      </w:pPr>
      <w:r>
        <w:rPr>
          <w:sz w:val="21"/>
        </w:rPr>
        <mc:AlternateContent>
          <mc:Choice Requires="wps">
            <w:drawing>
              <wp:anchor distT="0" distB="0" distL="114300" distR="114300" simplePos="0" relativeHeight="251680768" behindDoc="0" locked="0" layoutInCell="1" allowOverlap="1">
                <wp:simplePos x="0" y="0"/>
                <wp:positionH relativeFrom="column">
                  <wp:posOffset>6228080</wp:posOffset>
                </wp:positionH>
                <wp:positionV relativeFrom="paragraph">
                  <wp:posOffset>241935</wp:posOffset>
                </wp:positionV>
                <wp:extent cx="1413510" cy="349250"/>
                <wp:effectExtent l="0" t="0" r="15240" b="12700"/>
                <wp:wrapNone/>
                <wp:docPr id="50" name="文本框 50"/>
                <wp:cNvGraphicFramePr/>
                <a:graphic xmlns:a="http://schemas.openxmlformats.org/drawingml/2006/main">
                  <a:graphicData uri="http://schemas.microsoft.com/office/word/2010/wordprocessingShape">
                    <wps:wsp>
                      <wps:cNvSpPr txBox="1"/>
                      <wps:spPr>
                        <a:xfrm>
                          <a:off x="7484745" y="5202555"/>
                          <a:ext cx="1413510" cy="349250"/>
                        </a:xfrm>
                        <a:prstGeom prst="rect">
                          <a:avLst/>
                        </a:prstGeom>
                        <a:solidFill>
                          <a:schemeClr val="bg1"/>
                        </a:solid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color w:val="5B9BD5" w:themeColor="accent1"/>
                                <w:sz w:val="24"/>
                                <w:szCs w:val="32"/>
                                <w:lang w:val="en-US" w:eastAsia="zh-CN"/>
                                <w14:textFill>
                                  <w14:solidFill>
                                    <w14:schemeClr w14:val="accent1"/>
                                  </w14:solidFill>
                                </w14:textFill>
                              </w:rPr>
                            </w:pPr>
                            <w:r>
                              <w:rPr>
                                <w:rFonts w:hint="eastAsia" w:ascii="黑体" w:hAnsi="黑体" w:eastAsia="黑体" w:cs="黑体"/>
                                <w:color w:val="5B9BD5" w:themeColor="accent1"/>
                                <w:sz w:val="24"/>
                                <w:szCs w:val="32"/>
                                <w:lang w:val="en-US" w:eastAsia="zh-CN"/>
                                <w14:textFill>
                                  <w14:solidFill>
                                    <w14:schemeClr w14:val="accent1"/>
                                  </w14:solidFill>
                                </w14:textFill>
                              </w:rPr>
                              <w:t>检测合格盖章通过</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90.4pt;margin-top:19.05pt;height:27.5pt;width:111.3pt;z-index:251680768;mso-width-relative:page;mso-height-relative:page;" fillcolor="#FFFFFF [3212]" filled="t" stroked="f" coordsize="21600,21600" o:gfxdata="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AAAAAZHJzL1BLAQIUABQAAAAIAIdO4kB00mJw&#10;1QAAAAoBAAAPAAAAAAAAAAEAIAAAACIAAABkcnMvZG93bnJldi54bWxQSwECFAAUAAAACACHTuJA&#10;tsLwKF0CAACdBAAADgAAAAAAAAABACAAAAAkAQAAZHJzL2Uyb0RvYy54bWxQSwUGAAAAAAYABgBZ&#10;AQAA8wUAAAAA&#10;">
                <v:fill on="t"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黑体" w:hAnsi="黑体" w:eastAsia="黑体" w:cs="黑体"/>
                          <w:color w:val="5B9BD5" w:themeColor="accent1"/>
                          <w:sz w:val="24"/>
                          <w:szCs w:val="32"/>
                          <w:lang w:val="en-US" w:eastAsia="zh-CN"/>
                          <w14:textFill>
                            <w14:solidFill>
                              <w14:schemeClr w14:val="accent1"/>
                            </w14:solidFill>
                          </w14:textFill>
                        </w:rPr>
                      </w:pPr>
                      <w:r>
                        <w:rPr>
                          <w:rFonts w:hint="eastAsia" w:ascii="黑体" w:hAnsi="黑体" w:eastAsia="黑体" w:cs="黑体"/>
                          <w:color w:val="5B9BD5" w:themeColor="accent1"/>
                          <w:sz w:val="24"/>
                          <w:szCs w:val="32"/>
                          <w:lang w:val="en-US" w:eastAsia="zh-CN"/>
                          <w14:textFill>
                            <w14:solidFill>
                              <w14:schemeClr w14:val="accent1"/>
                            </w14:solidFill>
                          </w14:textFill>
                        </w:rPr>
                        <w:t>检测合格盖章通过</w:t>
                      </w:r>
                    </w:p>
                  </w:txbxContent>
                </v:textbox>
              </v:shape>
            </w:pict>
          </mc:Fallback>
        </mc:AlternateContent>
      </w:r>
      <w:r>
        <w:rPr>
          <w:sz w:val="21"/>
        </w:rPr>
        <mc:AlternateContent>
          <mc:Choice Requires="wps">
            <w:drawing>
              <wp:anchor distT="0" distB="0" distL="114300" distR="114300" simplePos="0" relativeHeight="251666432" behindDoc="0" locked="0" layoutInCell="1" allowOverlap="1">
                <wp:simplePos x="0" y="0"/>
                <wp:positionH relativeFrom="column">
                  <wp:posOffset>1583055</wp:posOffset>
                </wp:positionH>
                <wp:positionV relativeFrom="paragraph">
                  <wp:posOffset>1959610</wp:posOffset>
                </wp:positionV>
                <wp:extent cx="6123305" cy="524510"/>
                <wp:effectExtent l="13970" t="13970" r="15875" b="33020"/>
                <wp:wrapNone/>
                <wp:docPr id="21" name="文本框 21"/>
                <wp:cNvGraphicFramePr/>
                <a:graphic xmlns:a="http://schemas.openxmlformats.org/drawingml/2006/main">
                  <a:graphicData uri="http://schemas.microsoft.com/office/word/2010/wordprocessingShape">
                    <wps:wsp>
                      <wps:cNvSpPr txBox="1"/>
                      <wps:spPr>
                        <a:xfrm>
                          <a:off x="0" y="0"/>
                          <a:ext cx="6123305" cy="524510"/>
                        </a:xfrm>
                        <a:prstGeom prst="rect">
                          <a:avLst/>
                        </a:prstGeom>
                        <a:solidFill>
                          <a:schemeClr val="lt1"/>
                        </a:solidFill>
                        <a:ln w="28575" cmpd="sng">
                          <a:solidFill>
                            <a:schemeClr val="accent1">
                              <a:shade val="50000"/>
                            </a:schemeClr>
                          </a:solidFill>
                          <a:prstDash val="solid"/>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黑体" w:hAnsi="黑体" w:eastAsia="黑体" w:cs="黑体"/>
                                <w:b/>
                                <w:bCs/>
                                <w:color w:val="5B9BD5" w:themeColor="accent1"/>
                                <w:sz w:val="28"/>
                                <w:szCs w:val="36"/>
                                <w:lang w:val="en-US" w:eastAsia="zh-CN"/>
                                <w14:textFill>
                                  <w14:solidFill>
                                    <w14:schemeClr w14:val="accent1"/>
                                  </w14:solidFill>
                                </w14:textFill>
                              </w:rPr>
                            </w:pPr>
                            <w:r>
                              <w:rPr>
                                <w:rFonts w:hint="eastAsia" w:ascii="黑体" w:hAnsi="黑体" w:eastAsia="黑体" w:cs="黑体"/>
                                <w:b/>
                                <w:bCs/>
                                <w:color w:val="5B9BD5" w:themeColor="accent1"/>
                                <w:sz w:val="28"/>
                                <w:szCs w:val="36"/>
                                <w:lang w:val="en-US" w:eastAsia="zh-CN"/>
                                <w14:textFill>
                                  <w14:solidFill>
                                    <w14:schemeClr w14:val="accent1"/>
                                  </w14:solidFill>
                                </w14:textFill>
                              </w:rPr>
                              <w:t>开考前100分钟入场检测通道开启</w:t>
                            </w:r>
                          </w:p>
                          <w:p>
                            <w:pPr>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24.65pt;margin-top:154.3pt;height:41.3pt;width:482.15pt;z-index:251666432;mso-width-relative:page;mso-height-relative:page;" fillcolor="#FFFFFF [3201]" filled="t" stroked="t" coordsize="21600,21600" o:gfxdata="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">
                <v:fill on="t" focussize="0,0"/>
                <v:stroke weight="2.25pt" color="#41719C [3204]" joinstyle="round"/>
                <v:imagedata o:title=""/>
                <o:lock v:ext="edit" aspectratio="f"/>
                <v:textbox>
                  <w:txbxContent>
                    <w:p>
                      <w:pPr>
                        <w:jc w:val="center"/>
                        <w:rPr>
                          <w:rFonts w:hint="eastAsia" w:ascii="黑体" w:hAnsi="黑体" w:eastAsia="黑体" w:cs="黑体"/>
                          <w:b/>
                          <w:bCs/>
                          <w:color w:val="5B9BD5" w:themeColor="accent1"/>
                          <w:sz w:val="28"/>
                          <w:szCs w:val="36"/>
                          <w:lang w:val="en-US" w:eastAsia="zh-CN"/>
                          <w14:textFill>
                            <w14:solidFill>
                              <w14:schemeClr w14:val="accent1"/>
                            </w14:solidFill>
                          </w14:textFill>
                        </w:rPr>
                      </w:pPr>
                      <w:r>
                        <w:rPr>
                          <w:rFonts w:hint="eastAsia" w:ascii="黑体" w:hAnsi="黑体" w:eastAsia="黑体" w:cs="黑体"/>
                          <w:b/>
                          <w:bCs/>
                          <w:color w:val="5B9BD5" w:themeColor="accent1"/>
                          <w:sz w:val="28"/>
                          <w:szCs w:val="36"/>
                          <w:lang w:val="en-US" w:eastAsia="zh-CN"/>
                          <w14:textFill>
                            <w14:solidFill>
                              <w14:schemeClr w14:val="accent1"/>
                            </w14:solidFill>
                          </w14:textFill>
                        </w:rPr>
                        <w:t>开考前100分钟入场检测通道开启</w:t>
                      </w:r>
                    </w:p>
                    <w:p>
                      <w:pPr>
                        <w:rPr>
                          <w:rFonts w:hint="eastAsia"/>
                          <w:lang w:val="en-US" w:eastAsia="zh-CN"/>
                        </w:rPr>
                      </w:pPr>
                    </w:p>
                  </w:txbxContent>
                </v:textbox>
              </v:shape>
            </w:pict>
          </mc:Fallback>
        </mc:AlternateContent>
      </w:r>
      <w:r>
        <w:rPr>
          <w:sz w:val="21"/>
        </w:rPr>
        <mc:AlternateContent>
          <mc:Choice Requires="wps">
            <w:drawing>
              <wp:anchor distT="0" distB="0" distL="114300" distR="114300" simplePos="0" relativeHeight="251687936" behindDoc="0" locked="0" layoutInCell="1" allowOverlap="1">
                <wp:simplePos x="0" y="0"/>
                <wp:positionH relativeFrom="column">
                  <wp:posOffset>4399915</wp:posOffset>
                </wp:positionH>
                <wp:positionV relativeFrom="paragraph">
                  <wp:posOffset>537845</wp:posOffset>
                </wp:positionV>
                <wp:extent cx="970915" cy="1114425"/>
                <wp:effectExtent l="5080" t="4445" r="14605" b="5080"/>
                <wp:wrapNone/>
                <wp:docPr id="59" name="文本框 59"/>
                <wp:cNvGraphicFramePr/>
                <a:graphic xmlns:a="http://schemas.openxmlformats.org/drawingml/2006/main">
                  <a:graphicData uri="http://schemas.microsoft.com/office/word/2010/wordprocessingShape">
                    <wps:wsp>
                      <wps:cNvSpPr txBox="1"/>
                      <wps:spPr>
                        <a:xfrm>
                          <a:off x="0" y="0"/>
                          <a:ext cx="970915" cy="11144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color w:val="5B9BD5" w:themeColor="accent1"/>
                                <w:lang w:val="en-US" w:eastAsia="zh-CN"/>
                                <w14:textFill>
                                  <w14:solidFill>
                                    <w14:schemeClr w14:val="accent1"/>
                                  </w14:solidFill>
                                </w14:textFill>
                              </w:rPr>
                            </w:pPr>
                            <w:r>
                              <w:rPr>
                                <w:rFonts w:hint="eastAsia"/>
                                <w:b/>
                                <w:bCs/>
                                <w:color w:val="5B9BD5" w:themeColor="accent1"/>
                                <w:lang w:val="en-US" w:eastAsia="zh-CN"/>
                                <w14:textFill>
                                  <w14:solidFill>
                                    <w14:schemeClr w14:val="accent1"/>
                                  </w14:solidFill>
                                </w14:textFill>
                              </w:rPr>
                              <w:t>准考证</w:t>
                            </w:r>
                          </w:p>
                          <w:p>
                            <w:pPr>
                              <w:jc w:val="center"/>
                              <w:rPr>
                                <w:rFonts w:hint="eastAsia"/>
                                <w:b/>
                                <w:bCs/>
                                <w:color w:val="5B9BD5" w:themeColor="accent1"/>
                                <w:lang w:val="en-US" w:eastAsia="zh-CN"/>
                                <w14:textFill>
                                  <w14:solidFill>
                                    <w14:schemeClr w14:val="accent1"/>
                                  </w14:solidFill>
                                </w14:textFill>
                              </w:rPr>
                            </w:pPr>
                            <w:r>
                              <w:rPr>
                                <w:rFonts w:hint="eastAsia"/>
                                <w:b/>
                                <w:bCs/>
                                <w:color w:val="5B9BD5" w:themeColor="accent1"/>
                                <w:lang w:val="en-US" w:eastAsia="zh-CN"/>
                                <w14:textFill>
                                  <w14:solidFill>
                                    <w14:schemeClr w14:val="accent1"/>
                                  </w14:solidFill>
                                </w14:textFill>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6.45pt;margin-top:42.35pt;height:87.75pt;width:76.45pt;z-index:251687936;mso-width-relative:page;mso-height-relative:page;" fillcolor="#FFFFFF [3201]" filled="t" stroked="t" coordsize="21600,21600" o:gfxdata="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KAZrF9gA&#10;AAAKAQAADwAAAAAAAAABACAAAAAiAAAAZHJzL2Rvd25yZXYueG1sUEsBAhQAFAAAAAgAh07iQIf1&#10;WDJYAgAAuQQAAA4AAAAAAAAAAQAgAAAAJwEAAGRycy9lMm9Eb2MueG1sUEsFBgAAAAAGAAYAWQEA&#10;APEFAAAAAA==&#10;">
                <v:fill on="t" focussize="0,0"/>
                <v:stroke weight="0.5pt" color="#000000 [3204]" joinstyle="round"/>
                <v:imagedata o:title=""/>
                <o:lock v:ext="edit" aspectratio="f"/>
                <v:textbox>
                  <w:txbxContent>
                    <w:p>
                      <w:pPr>
                        <w:jc w:val="center"/>
                        <w:rPr>
                          <w:rFonts w:hint="eastAsia"/>
                          <w:b/>
                          <w:bCs/>
                          <w:color w:val="5B9BD5" w:themeColor="accent1"/>
                          <w:lang w:val="en-US" w:eastAsia="zh-CN"/>
                          <w14:textFill>
                            <w14:solidFill>
                              <w14:schemeClr w14:val="accent1"/>
                            </w14:solidFill>
                          </w14:textFill>
                        </w:rPr>
                      </w:pPr>
                      <w:r>
                        <w:rPr>
                          <w:rFonts w:hint="eastAsia"/>
                          <w:b/>
                          <w:bCs/>
                          <w:color w:val="5B9BD5" w:themeColor="accent1"/>
                          <w:lang w:val="en-US" w:eastAsia="zh-CN"/>
                          <w14:textFill>
                            <w14:solidFill>
                              <w14:schemeClr w14:val="accent1"/>
                            </w14:solidFill>
                          </w14:textFill>
                        </w:rPr>
                        <w:t>准考证</w:t>
                      </w:r>
                    </w:p>
                    <w:p>
                      <w:pPr>
                        <w:jc w:val="center"/>
                        <w:rPr>
                          <w:rFonts w:hint="eastAsia"/>
                          <w:b/>
                          <w:bCs/>
                          <w:color w:val="5B9BD5" w:themeColor="accent1"/>
                          <w:lang w:val="en-US" w:eastAsia="zh-CN"/>
                          <w14:textFill>
                            <w14:solidFill>
                              <w14:schemeClr w14:val="accent1"/>
                            </w14:solidFill>
                          </w14:textFill>
                        </w:rPr>
                      </w:pPr>
                      <w:r>
                        <w:rPr>
                          <w:rFonts w:hint="eastAsia"/>
                          <w:b/>
                          <w:bCs/>
                          <w:color w:val="5B9BD5" w:themeColor="accent1"/>
                          <w:lang w:val="en-US" w:eastAsia="zh-CN"/>
                          <w14:textFill>
                            <w14:solidFill>
                              <w14:schemeClr w14:val="accent1"/>
                            </w14:solidFill>
                          </w14:textFill>
                        </w:rPr>
                        <w:t>…………………………………………</w:t>
                      </w:r>
                    </w:p>
                  </w:txbxContent>
                </v:textbox>
              </v:shape>
            </w:pict>
          </mc:Fallback>
        </mc:AlternateContent>
      </w:r>
      <w:r>
        <w:rPr>
          <w:sz w:val="21"/>
        </w:rPr>
        <mc:AlternateContent>
          <mc:Choice Requires="wps">
            <w:drawing>
              <wp:anchor distT="0" distB="0" distL="114300" distR="114300" simplePos="0" relativeHeight="251685888" behindDoc="0" locked="0" layoutInCell="1" allowOverlap="1">
                <wp:simplePos x="0" y="0"/>
                <wp:positionH relativeFrom="column">
                  <wp:posOffset>3149600</wp:posOffset>
                </wp:positionH>
                <wp:positionV relativeFrom="paragraph">
                  <wp:posOffset>542925</wp:posOffset>
                </wp:positionV>
                <wp:extent cx="337820" cy="1135380"/>
                <wp:effectExtent l="6350" t="6350" r="17780" b="20320"/>
                <wp:wrapNone/>
                <wp:docPr id="57" name="文本框 57"/>
                <wp:cNvGraphicFramePr/>
                <a:graphic xmlns:a="http://schemas.openxmlformats.org/drawingml/2006/main">
                  <a:graphicData uri="http://schemas.microsoft.com/office/word/2010/wordprocessingShape">
                    <wps:wsp>
                      <wps:cNvSpPr txBox="1"/>
                      <wps:spPr>
                        <a:xfrm>
                          <a:off x="0" y="0"/>
                          <a:ext cx="337820" cy="1135380"/>
                        </a:xfrm>
                        <a:prstGeom prst="rect">
                          <a:avLst/>
                        </a:prstGeom>
                        <a:solidFill>
                          <a:schemeClr val="lt1"/>
                        </a:solidFill>
                        <a:ln w="12700" cmpd="sng">
                          <a:solidFill>
                            <a:schemeClr val="accent1">
                              <a:shade val="50000"/>
                            </a:schemeClr>
                          </a:solidFill>
                          <a:prstDash val="sysDot"/>
                        </a:ln>
                      </wps:spPr>
                      <wps:style>
                        <a:lnRef idx="0">
                          <a:schemeClr val="accent1"/>
                        </a:lnRef>
                        <a:fillRef idx="0">
                          <a:schemeClr val="accent1"/>
                        </a:fillRef>
                        <a:effectRef idx="0">
                          <a:schemeClr val="accent1"/>
                        </a:effectRef>
                        <a:fontRef idx="minor">
                          <a:schemeClr val="dk1"/>
                        </a:fontRef>
                      </wps:style>
                      <wps:txbx>
                        <w:txbxContent>
                          <w:p>
                            <w:pPr>
                              <w:jc w:val="both"/>
                              <w:rPr>
                                <w:rFonts w:hint="eastAsia" w:ascii="黑体" w:hAnsi="黑体" w:eastAsia="黑体" w:cs="黑体"/>
                                <w:b/>
                                <w:bCs/>
                                <w:color w:val="5B9BD5" w:themeColor="accent1"/>
                                <w:sz w:val="22"/>
                                <w:szCs w:val="22"/>
                                <w:lang w:val="en-US" w:eastAsia="zh-CN"/>
                                <w14:textFill>
                                  <w14:solidFill>
                                    <w14:schemeClr w14:val="accent1"/>
                                  </w14:solidFill>
                                </w14:textFill>
                              </w:rPr>
                            </w:pPr>
                            <w:r>
                              <w:rPr>
                                <w:rFonts w:hint="eastAsia" w:ascii="黑体" w:hAnsi="黑体" w:eastAsia="黑体" w:cs="黑体"/>
                                <w:b/>
                                <w:bCs/>
                                <w:color w:val="5B9BD5" w:themeColor="accent1"/>
                                <w:sz w:val="21"/>
                                <w:szCs w:val="21"/>
                                <w:lang w:val="en-US" w:eastAsia="zh-CN"/>
                                <w14:textFill>
                                  <w14:solidFill>
                                    <w14:schemeClr w14:val="accent1"/>
                                  </w14:solidFill>
                                </w14:textFill>
                              </w:rPr>
                              <w:t>体温检测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8pt;margin-top:42.75pt;height:89.4pt;width:26.6pt;z-index:251685888;mso-width-relative:page;mso-height-relative:page;" fillcolor="#FFFFFF [3201]" filled="t" stroked="t" coordsize="21600,21600" o:gfxdata="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CSWc4b2gAAAAoBAAAPAAAAAAAAAAEAIAAA&#10;ACIAAABkcnMvZG93bnJldi54bWxQSwECFAAUAAAACACHTuJArhKaNHwCAAABBQAADgAAAAAAAAAB&#10;ACAAAAApAQAAZHJzL2Uyb0RvYy54bWxQSwUGAAAAAAYABgBZAQAAFwYAAAAA&#10;">
                <v:fill on="t" focussize="0,0"/>
                <v:stroke weight="1pt" color="#41719C [3204]" joinstyle="round" dashstyle="1 1"/>
                <v:imagedata o:title=""/>
                <o:lock v:ext="edit" aspectratio="f"/>
                <v:textbox>
                  <w:txbxContent>
                    <w:p>
                      <w:pPr>
                        <w:jc w:val="both"/>
                        <w:rPr>
                          <w:rFonts w:hint="eastAsia" w:ascii="黑体" w:hAnsi="黑体" w:eastAsia="黑体" w:cs="黑体"/>
                          <w:b/>
                          <w:bCs/>
                          <w:color w:val="5B9BD5" w:themeColor="accent1"/>
                          <w:sz w:val="22"/>
                          <w:szCs w:val="22"/>
                          <w:lang w:val="en-US" w:eastAsia="zh-CN"/>
                          <w14:textFill>
                            <w14:solidFill>
                              <w14:schemeClr w14:val="accent1"/>
                            </w14:solidFill>
                          </w14:textFill>
                        </w:rPr>
                      </w:pPr>
                      <w:r>
                        <w:rPr>
                          <w:rFonts w:hint="eastAsia" w:ascii="黑体" w:hAnsi="黑体" w:eastAsia="黑体" w:cs="黑体"/>
                          <w:b/>
                          <w:bCs/>
                          <w:color w:val="5B9BD5" w:themeColor="accent1"/>
                          <w:sz w:val="21"/>
                          <w:szCs w:val="21"/>
                          <w:lang w:val="en-US" w:eastAsia="zh-CN"/>
                          <w14:textFill>
                            <w14:solidFill>
                              <w14:schemeClr w14:val="accent1"/>
                            </w14:solidFill>
                          </w14:textFill>
                        </w:rPr>
                        <w:t>体温检测</w:t>
                      </w:r>
                    </w:p>
                  </w:txbxContent>
                </v:textbox>
              </v:shape>
            </w:pict>
          </mc:Fallback>
        </mc:AlternateContent>
      </w:r>
      <w:r>
        <w:rPr>
          <w:sz w:val="21"/>
        </w:rPr>
        <mc:AlternateContent>
          <mc:Choice Requires="wps">
            <w:drawing>
              <wp:anchor distT="0" distB="0" distL="114300" distR="114300" simplePos="0" relativeHeight="251684864" behindDoc="0" locked="0" layoutInCell="1" allowOverlap="1">
                <wp:simplePos x="0" y="0"/>
                <wp:positionH relativeFrom="column">
                  <wp:posOffset>2315210</wp:posOffset>
                </wp:positionH>
                <wp:positionV relativeFrom="paragraph">
                  <wp:posOffset>547370</wp:posOffset>
                </wp:positionV>
                <wp:extent cx="819150" cy="1114425"/>
                <wp:effectExtent l="5080" t="4445" r="13970" b="5080"/>
                <wp:wrapNone/>
                <wp:docPr id="55" name="文本框 55"/>
                <wp:cNvGraphicFramePr/>
                <a:graphic xmlns:a="http://schemas.openxmlformats.org/drawingml/2006/main">
                  <a:graphicData uri="http://schemas.microsoft.com/office/word/2010/wordprocessingShape">
                    <wps:wsp>
                      <wps:cNvSpPr txBox="1"/>
                      <wps:spPr>
                        <a:xfrm>
                          <a:off x="0" y="0"/>
                          <a:ext cx="819150" cy="111442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r>
                              <w:drawing>
                                <wp:inline distT="0" distB="0" distL="114300" distR="114300">
                                  <wp:extent cx="686435" cy="889000"/>
                                  <wp:effectExtent l="0" t="0" r="18415" b="6350"/>
                                  <wp:docPr id="5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
                                          <pic:cNvPicPr>
                                            <a:picLocks noChangeAspect="1"/>
                                          </pic:cNvPicPr>
                                        </pic:nvPicPr>
                                        <pic:blipFill>
                                          <a:blip r:embed="rId6"/>
                                          <a:stretch>
                                            <a:fillRect/>
                                          </a:stretch>
                                        </pic:blipFill>
                                        <pic:spPr>
                                          <a:xfrm>
                                            <a:off x="0" y="0"/>
                                            <a:ext cx="686435" cy="889000"/>
                                          </a:xfrm>
                                          <a:prstGeom prst="rect">
                                            <a:avLst/>
                                          </a:prstGeom>
                                          <a:noFill/>
                                          <a:ln w="9525">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82.3pt;margin-top:43.1pt;height:87.75pt;width:64.5pt;z-index:251684864;mso-width-relative:page;mso-height-relative:page;" fillcolor="#FFFFFF [3201]" filled="t" stroked="t" coordsize="21600,21600" o:gfxdata="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9S2Kq1wAA&#10;AAoBAAAPAAAAAAAAAAEAIAAAACIAAABkcnMvZG93bnJldi54bWxQSwECFAAUAAAACACHTuJA/wbL&#10;DlgCAAC5BAAADgAAAAAAAAABACAAAAAmAQAAZHJzL2Uyb0RvYy54bWxQSwUGAAAAAAYABgBZAQAA&#10;8AUAAAAA&#10;">
                <v:fill on="t" focussize="0,0"/>
                <v:stroke weight="0.5pt" color="#000000 [3204]" joinstyle="round"/>
                <v:imagedata o:title=""/>
                <o:lock v:ext="edit" aspectratio="f"/>
                <v:textbox>
                  <w:txbxContent>
                    <w:p>
                      <w:r>
                        <w:drawing>
                          <wp:inline distT="0" distB="0" distL="114300" distR="114300">
                            <wp:extent cx="686435" cy="889000"/>
                            <wp:effectExtent l="0" t="0" r="18415" b="6350"/>
                            <wp:docPr id="5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
                                    <pic:cNvPicPr>
                                      <a:picLocks noChangeAspect="1"/>
                                    </pic:cNvPicPr>
                                  </pic:nvPicPr>
                                  <pic:blipFill>
                                    <a:blip r:embed="rId6"/>
                                    <a:stretch>
                                      <a:fillRect/>
                                    </a:stretch>
                                  </pic:blipFill>
                                  <pic:spPr>
                                    <a:xfrm>
                                      <a:off x="0" y="0"/>
                                      <a:ext cx="686435" cy="889000"/>
                                    </a:xfrm>
                                    <a:prstGeom prst="rect">
                                      <a:avLst/>
                                    </a:prstGeom>
                                    <a:noFill/>
                                    <a:ln w="9525">
                                      <a:noFill/>
                                    </a:ln>
                                  </pic:spPr>
                                </pic:pic>
                              </a:graphicData>
                            </a:graphic>
                          </wp:inline>
                        </w:drawing>
                      </w:r>
                    </w:p>
                  </w:txbxContent>
                </v:textbox>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column">
                  <wp:posOffset>177800</wp:posOffset>
                </wp:positionH>
                <wp:positionV relativeFrom="paragraph">
                  <wp:posOffset>121920</wp:posOffset>
                </wp:positionV>
                <wp:extent cx="337820" cy="935355"/>
                <wp:effectExtent l="6350" t="6350" r="17780" b="10795"/>
                <wp:wrapNone/>
                <wp:docPr id="4" name="文本框 4"/>
                <wp:cNvGraphicFramePr/>
                <a:graphic xmlns:a="http://schemas.openxmlformats.org/drawingml/2006/main">
                  <a:graphicData uri="http://schemas.microsoft.com/office/word/2010/wordprocessingShape">
                    <wps:wsp>
                      <wps:cNvSpPr txBox="1"/>
                      <wps:spPr>
                        <a:xfrm>
                          <a:off x="1635125" y="3014980"/>
                          <a:ext cx="337820" cy="935355"/>
                        </a:xfrm>
                        <a:prstGeom prst="rect">
                          <a:avLst/>
                        </a:prstGeom>
                        <a:solidFill>
                          <a:schemeClr val="lt1"/>
                        </a:solidFill>
                        <a:ln w="12700" cmpd="sng">
                          <a:solidFill>
                            <a:schemeClr val="accent1">
                              <a:shade val="50000"/>
                            </a:schemeClr>
                          </a:solidFill>
                          <a:prstDash val="sysDot"/>
                        </a:ln>
                      </wps:spPr>
                      <wps:style>
                        <a:lnRef idx="0">
                          <a:schemeClr val="accent1"/>
                        </a:lnRef>
                        <a:fillRef idx="0">
                          <a:schemeClr val="accent1"/>
                        </a:fillRef>
                        <a:effectRef idx="0">
                          <a:schemeClr val="accent1"/>
                        </a:effectRef>
                        <a:fontRef idx="minor">
                          <a:schemeClr val="dk1"/>
                        </a:fontRef>
                      </wps:style>
                      <wps:txbx>
                        <w:txbxContent>
                          <w:p>
                            <w:pPr>
                              <w:rPr>
                                <w:rFonts w:hint="eastAsia" w:ascii="黑体" w:hAnsi="黑体" w:eastAsia="黑体" w:cs="黑体"/>
                                <w:b/>
                                <w:bCs/>
                                <w:color w:val="5B9BD5" w:themeColor="accent1"/>
                                <w:sz w:val="22"/>
                                <w:szCs w:val="22"/>
                                <w:lang w:val="en-US" w:eastAsia="zh-CN"/>
                                <w14:textFill>
                                  <w14:solidFill>
                                    <w14:schemeClr w14:val="accent1"/>
                                  </w14:solidFill>
                                </w14:textFill>
                              </w:rPr>
                            </w:pPr>
                            <w:r>
                              <w:rPr>
                                <w:rFonts w:hint="eastAsia" w:ascii="黑体" w:hAnsi="黑体" w:eastAsia="黑体" w:cs="黑体"/>
                                <w:b/>
                                <w:bCs/>
                                <w:color w:val="5B9BD5" w:themeColor="accent1"/>
                                <w:sz w:val="22"/>
                                <w:szCs w:val="22"/>
                                <w:lang w:val="en-US" w:eastAsia="zh-CN"/>
                                <w14:textFill>
                                  <w14:solidFill>
                                    <w14:schemeClr w14:val="accent1"/>
                                  </w14:solidFill>
                                </w14:textFill>
                              </w:rPr>
                              <w:t>佩戴口罩</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pt;margin-top:9.6pt;height:73.65pt;width:26.6pt;z-index:251659264;mso-width-relative:page;mso-height-relative:page;" fillcolor="#FFFFFF [3201]" filled="t" stroked="t" coordsize="21600,21600" o:gfxdata="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AK/xwV1wAAAAgBAAAPAAAAAAAA&#10;AAEAIAAAACIAAABkcnMvZG93bnJldi54bWxQSwECFAAUAAAACACHTuJAxHC3GYUCAAAKBQAADgAA&#10;AAAAAAABACAAAAAmAQAAZHJzL2Uyb0RvYy54bWxQSwUGAAAAAAYABgBZAQAAHQYAAAAA&#10;">
                <v:fill on="t" focussize="0,0"/>
                <v:stroke weight="1pt" color="#41719C [3204]" joinstyle="round" dashstyle="1 1"/>
                <v:imagedata o:title=""/>
                <o:lock v:ext="edit" aspectratio="f"/>
                <v:textbox>
                  <w:txbxContent>
                    <w:p>
                      <w:pPr>
                        <w:rPr>
                          <w:rFonts w:hint="eastAsia" w:ascii="黑体" w:hAnsi="黑体" w:eastAsia="黑体" w:cs="黑体"/>
                          <w:b/>
                          <w:bCs/>
                          <w:color w:val="5B9BD5" w:themeColor="accent1"/>
                          <w:sz w:val="22"/>
                          <w:szCs w:val="22"/>
                          <w:lang w:val="en-US" w:eastAsia="zh-CN"/>
                          <w14:textFill>
                            <w14:solidFill>
                              <w14:schemeClr w14:val="accent1"/>
                            </w14:solidFill>
                          </w14:textFill>
                        </w:rPr>
                      </w:pPr>
                      <w:r>
                        <w:rPr>
                          <w:rFonts w:hint="eastAsia" w:ascii="黑体" w:hAnsi="黑体" w:eastAsia="黑体" w:cs="黑体"/>
                          <w:b/>
                          <w:bCs/>
                          <w:color w:val="5B9BD5" w:themeColor="accent1"/>
                          <w:sz w:val="22"/>
                          <w:szCs w:val="22"/>
                          <w:lang w:val="en-US" w:eastAsia="zh-CN"/>
                          <w14:textFill>
                            <w14:solidFill>
                              <w14:schemeClr w14:val="accent1"/>
                            </w14:solidFill>
                          </w14:textFill>
                        </w:rPr>
                        <w:t>佩戴口罩</w:t>
                      </w:r>
                    </w:p>
                  </w:txbxContent>
                </v:textbox>
              </v:shape>
            </w:pict>
          </mc:Fallback>
        </mc:AlternateContent>
      </w:r>
      <w:r>
        <w:rPr>
          <w:sz w:val="21"/>
        </w:rPr>
        <mc:AlternateContent>
          <mc:Choice Requires="wps">
            <w:drawing>
              <wp:anchor distT="0" distB="0" distL="114300" distR="114300" simplePos="0" relativeHeight="251669504" behindDoc="0" locked="0" layoutInCell="1" allowOverlap="1">
                <wp:simplePos x="0" y="0"/>
                <wp:positionH relativeFrom="column">
                  <wp:posOffset>1228725</wp:posOffset>
                </wp:positionH>
                <wp:positionV relativeFrom="paragraph">
                  <wp:posOffset>588645</wp:posOffset>
                </wp:positionV>
                <wp:extent cx="424180" cy="0"/>
                <wp:effectExtent l="0" t="64135" r="13970" b="69215"/>
                <wp:wrapNone/>
                <wp:docPr id="26" name="直接箭头连接符 26"/>
                <wp:cNvGraphicFramePr/>
                <a:graphic xmlns:a="http://schemas.openxmlformats.org/drawingml/2006/main">
                  <a:graphicData uri="http://schemas.microsoft.com/office/word/2010/wordprocessingShape">
                    <wps:wsp>
                      <wps:cNvCnPr/>
                      <wps:spPr>
                        <a:xfrm>
                          <a:off x="0" y="0"/>
                          <a:ext cx="424180" cy="0"/>
                        </a:xfrm>
                        <a:prstGeom prst="straightConnector1">
                          <a:avLst/>
                        </a:prstGeom>
                        <a:ln w="28575" cmpd="dbl">
                          <a:solidFill>
                            <a:schemeClr val="accent1">
                              <a:shade val="50000"/>
                            </a:schemeClr>
                          </a:solidFill>
                          <a:prstDash val="solid"/>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96.75pt;margin-top:46.35pt;height:0pt;width:33.4pt;z-index:251669504;mso-width-relative:page;mso-height-relative:page;" filled="f" stroked="t" coordsize="21600,21600" o:gfxdata="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aNtL01wAAAAkBAAAPAAAA&#10;AAAAAAEAIAAAACIAAABkcnMvZG93bnJldi54bWxQSwECFAAUAAAACACHTuJAj1OlKBYCAAABBAAA&#10;DgAAAAAAAAABACAAAAAmAQAAZHJzL2Uyb0RvYy54bWxQSwUGAAAAAAYABgBZAQAArgUAAAAA&#10;">
                <v:fill on="f" focussize="0,0"/>
                <v:stroke weight="2.25pt" color="#41719C [3204]" linestyle="thinThin" miterlimit="8" joinstyle="miter" endarrow="open"/>
                <v:imagedata o:title=""/>
                <o:lock v:ext="edit" aspectratio="f"/>
              </v:shape>
            </w:pict>
          </mc:Fallback>
        </mc:AlternateContent>
      </w:r>
      <w:r>
        <w:rPr>
          <w:rFonts w:hint="eastAsia"/>
          <w:sz w:val="21"/>
          <w:lang w:val="en-US" w:eastAsia="zh-CN"/>
        </w:rPr>
        <w:t xml:space="preserve">        </w:t>
      </w:r>
      <w:r>
        <w:drawing>
          <wp:inline distT="0" distB="0" distL="114300" distR="114300">
            <wp:extent cx="715010" cy="1016000"/>
            <wp:effectExtent l="0" t="0" r="8890" b="1270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7"/>
                    <a:stretch>
                      <a:fillRect/>
                    </a:stretch>
                  </pic:blipFill>
                  <pic:spPr>
                    <a:xfrm>
                      <a:off x="0" y="0"/>
                      <a:ext cx="715010" cy="1016000"/>
                    </a:xfrm>
                    <a:prstGeom prst="rect">
                      <a:avLst/>
                    </a:prstGeom>
                    <a:noFill/>
                    <a:ln w="9525">
                      <a:noFill/>
                    </a:ln>
                  </pic:spPr>
                </pic:pic>
              </a:graphicData>
            </a:graphic>
          </wp:inline>
        </w:drawing>
      </w:r>
    </w:p>
    <w:p>
      <w:pPr>
        <w:pStyle w:val="2"/>
        <w:rPr>
          <w:rFonts w:hint="eastAsia"/>
        </w:rPr>
      </w:pPr>
    </w:p>
    <w:sectPr>
      <w:footerReference r:id="rId3" w:type="default"/>
      <w:pgSz w:w="16838" w:h="11906" w:orient="landscape"/>
      <w:pgMar w:top="1134" w:right="1134" w:bottom="1134" w:left="1134" w:header="851" w:footer="992" w:gutter="0"/>
      <w:pgNumType w:fmt="numberInDash" w:start="16"/>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lang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3454E6C"/>
    <w:rsid w:val="68976090"/>
    <w:rsid w:val="776F65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2022-10-28T09:59:00Z</dcterms:created>
  <dc:creator>Administrator</dc:creator>
  <cp:lastModifiedBy>A&amp;魏</cp:lastModifiedBy>
  <dcterms:modified xsi:type="dcterms:W3CDTF">2022-11-03T08:32:58Z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252837219_btnclosed</vt:lpwstr>
  </property>
</Properties>
</file>