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leftChars="0" w:right="0" w:firstLine="0" w:firstLineChars="0"/>
        <w:jc w:val="left"/>
        <w:rPr>
          <w:rFonts w:hint="default"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lang w:eastAsia="zh-CN"/>
          <w14:textFill>
            <w14:solidFill>
              <w14:schemeClr w14:val="tx1"/>
            </w14:solidFill>
          </w14:textFill>
        </w:rPr>
        <w:t>附件</w:t>
      </w:r>
      <w:r>
        <w:rPr>
          <w:rFonts w:hint="eastAsia"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leftChars="0" w:right="0" w:firstLine="0" w:firstLineChars="0"/>
        <w:jc w:val="center"/>
        <w:rPr>
          <w:rFonts w:hint="eastAsia" w:ascii="宋体" w:hAnsi="宋体" w:eastAsia="宋体" w:cs="宋体"/>
          <w:b/>
          <w:bCs/>
          <w:i w:val="0"/>
          <w:iCs w:val="0"/>
          <w:caps w:val="0"/>
          <w:color w:val="000000" w:themeColor="text1"/>
          <w:spacing w:val="0"/>
          <w:sz w:val="36"/>
          <w:szCs w:val="36"/>
          <w14:textFill>
            <w14:solidFill>
              <w14:schemeClr w14:val="tx1"/>
            </w14:solidFill>
          </w14:textFill>
        </w:rPr>
      </w:pPr>
      <w:r>
        <w:rPr>
          <w:rFonts w:hint="eastAsia" w:ascii="宋体" w:hAnsi="宋体" w:eastAsia="宋体" w:cs="宋体"/>
          <w:b/>
          <w:bCs/>
          <w:i w:val="0"/>
          <w:iCs w:val="0"/>
          <w:caps w:val="0"/>
          <w:color w:val="000000" w:themeColor="text1"/>
          <w:spacing w:val="0"/>
          <w:sz w:val="36"/>
          <w:szCs w:val="36"/>
          <w:shd w:val="clear" w:fill="FFFFFF"/>
          <w:lang w:val="en-US" w:eastAsia="zh-CN"/>
          <w14:textFill>
            <w14:solidFill>
              <w14:schemeClr w14:val="tx1"/>
            </w14:solidFill>
          </w14:textFill>
        </w:rPr>
        <w:t>笔试疫情防控要求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考生参加</w:t>
      </w:r>
      <w:r>
        <w:rPr>
          <w:rFonts w:hint="eastAsia" w:ascii="仿宋" w:hAnsi="仿宋" w:eastAsia="仿宋" w:cs="仿宋"/>
          <w:i w:val="0"/>
          <w:iCs w:val="0"/>
          <w:caps w:val="0"/>
          <w:color w:val="000000" w:themeColor="text1"/>
          <w:spacing w:val="0"/>
          <w:sz w:val="30"/>
          <w:szCs w:val="30"/>
          <w:shd w:val="clear" w:fill="FFFFFF"/>
          <w:lang w:eastAsia="zh-CN"/>
          <w14:textFill>
            <w14:solidFill>
              <w14:schemeClr w14:val="tx1"/>
            </w14:solidFill>
          </w14:textFill>
        </w:rPr>
        <w:t>笔试</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须符合以下疫情防控健康监测要求：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（一）考前准备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以下情形所要求提供的核酸检测阴性证明，均需以纸质形式提供：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1.考生须提前了解并确保自己符合海南省防疫规定要求，自觉做好自身健康管理。合理安排出行时间，密切关注疫情动态，非必要不前往中高风险地区和报告确诊病例的地区。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auto"/>
          <w:spacing w:val="0"/>
          <w:sz w:val="30"/>
          <w:szCs w:val="30"/>
          <w:highlight w:val="none"/>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w:t>
      </w:r>
      <w:r>
        <w:rPr>
          <w:rFonts w:hint="eastAsia" w:ascii="仿宋" w:hAnsi="仿宋" w:eastAsia="仿宋" w:cs="仿宋"/>
          <w:b/>
          <w:bCs/>
          <w:i w:val="0"/>
          <w:iCs w:val="0"/>
          <w:caps w:val="0"/>
          <w:color w:val="000000" w:themeColor="text1"/>
          <w:spacing w:val="0"/>
          <w:sz w:val="30"/>
          <w:szCs w:val="30"/>
          <w:shd w:val="clear" w:fill="FFFFFF"/>
          <w14:textFill>
            <w14:solidFill>
              <w14:schemeClr w14:val="tx1"/>
            </w14:solidFill>
          </w14:textFill>
        </w:rPr>
        <w:t>健康码为绿码考生须提供开考前72小时内3次核酸检测阴性的证明【考前三天三检】</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3.健康码不为绿色的考生，须按照以下不同情况提交相应的证明材料，方可在常规考场参加考试：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（1）考前14天内有过发热（体温超过37.3℃）、咳嗽、气促等症状但排除新冠病毒感染的考生，须提供开考前72小时内3次(每天一次)核酸检测结果阴性的证明。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（2）考试前被有关部门划定为密接、次密接，考前14天有涉疫区旅居史人员，应按要求完成管控，取得相关证明并提供开考前72小时内3次(每天一次)核酸检测结果阴性的证明。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考前14天内有新冠肺炎疫情中高风险地区（根据全国疫情发展情况确定）旅居史的考生，需持解除集中隔离告知书、解除居家健康监测告知书、开考前72小时内3次(每天一次)核酸检测阴性证明，否则不得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考前28天内有境外旅居史的考生，严格按照我省疫情防控指挥部要求实施管控，须集中隔离医学观察14天、7天居家健康监测、7天自我健康监测。“14+7+7”健康管理期间，严格按要求做核酸检测。考试时提供居家健康监测期间2次核酸检测阴性证明和自我健康监测第7天核酸检测阴性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凡隐瞒病情或者不如实报告发热史、旅行史（旅居史）和接触史等信息，以及拒不配合考场疫情防控工作者，将被取消考试资格，并按照《治安管理处罚法》《传染病防治法》和《关于依法惩治妨害新型冠状病毒感染肺炎疫情防控违法犯罪的意见》等法律法规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5.考试疫情防控措施将根据疫情防控形势变化适时调整，请考生密切关注</w:t>
      </w:r>
      <w:r>
        <w:rPr>
          <w:rFonts w:hint="eastAsia" w:ascii="仿宋" w:hAnsi="仿宋" w:eastAsia="仿宋" w:cs="仿宋"/>
          <w:b/>
          <w:bCs/>
          <w:i w:val="0"/>
          <w:iCs w:val="0"/>
          <w:caps w:val="0"/>
          <w:color w:val="000000" w:themeColor="text1"/>
          <w:spacing w:val="0"/>
          <w:sz w:val="30"/>
          <w:szCs w:val="30"/>
          <w:shd w:val="clear" w:fill="FFFFFF"/>
          <w14:textFill>
            <w14:solidFill>
              <w14:schemeClr w14:val="tx1"/>
            </w14:solidFill>
          </w14:textFill>
        </w:rPr>
        <w:t>海口市卫生健康委员会网站</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发布的公告。具体防疫工作将根据海南省新型冠状病毒肺炎疫情防控工作指挥部最新防疫工作要求进行调整。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（二）应试要求</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1.考生进入考点时须佩戴口罩(自备)，接受防疫安全检查和指导，听从考点考试工作人员指挥。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2.考生出示“健康码”、“通信大数据行程卡”、纸质版开考前</w:t>
      </w:r>
      <w:r>
        <w:rPr>
          <w:rFonts w:hint="eastAsia" w:ascii="仿宋" w:hAnsi="仿宋" w:eastAsia="仿宋" w:cs="仿宋"/>
          <w:i w:val="0"/>
          <w:iCs w:val="0"/>
          <w:caps w:val="0"/>
          <w:color w:val="000000" w:themeColor="text1"/>
          <w:spacing w:val="0"/>
          <w:sz w:val="30"/>
          <w:szCs w:val="30"/>
          <w:shd w:val="clear" w:fill="FFFFFF"/>
          <w:lang w:val="en-US" w:eastAsia="zh-CN"/>
          <w14:textFill>
            <w14:solidFill>
              <w14:schemeClr w14:val="tx1"/>
            </w14:solidFill>
          </w14:textFill>
        </w:rPr>
        <w:t>72小时内3次(每天一次)</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核酸检测阴性证明，并交由工作人员检查，测量体温低于37.3℃的考生，方可入进入考点；“健康码”不为绿码的考生，还须按上述要求提供核酸检测结果为阴性的证明，方可进入考点；考生体温达到或超过37.3℃，须服从考点应急处置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3.考试期间考生须全程佩戴口罩。考试过程中，考生如突感不适，应主动联系工作人员，听从工作人员安排。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（三）健康码及通信大数据行程卡获取方式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1.健康码获取方式如下：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（1）微信可点击“发现”-“搜一搜”，在搜索框输入“健康码”，进入“国家政务服务平台”，填写基本信息，获取防疫健康信息码。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（2）扫描“海南健康码”二维码，填写基本信息，获取海南健康码。</w:t>
      </w:r>
    </w:p>
    <w:tbl>
      <w:tblPr>
        <w:tblStyle w:val="3"/>
        <w:tblW w:w="4206"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
        <w:gridCol w:w="4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blCellSpacing w:w="0" w:type="dxa"/>
          <w:jc w:val="center"/>
        </w:trPr>
        <w:tc>
          <w:tcPr>
            <w:tcW w:w="6" w:type="dxa"/>
            <w:shd w:val="clear" w:color="auto" w:fill="FFFFFF"/>
            <w:vAlign w:val="center"/>
          </w:tcPr>
          <w:p>
            <w:pPr>
              <w:keepNext w:val="0"/>
              <w:keepLines w:val="0"/>
              <w:pageBreakBefore w:val="0"/>
              <w:widowControl/>
              <w:kinsoku/>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p>
        </w:tc>
        <w:tc>
          <w:tcPr>
            <w:tcW w:w="4200" w:type="dxa"/>
            <w:shd w:val="clear" w:color="auto" w:fill="FFFFFF"/>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right="0" w:firstLine="600" w:firstLineChars="200"/>
              <w:jc w:val="left"/>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kern w:val="0"/>
                <w:sz w:val="30"/>
                <w:szCs w:val="30"/>
                <w:lang w:val="en-US" w:eastAsia="zh-CN" w:bidi="ar"/>
                <w14:textFill>
                  <w14:solidFill>
                    <w14:schemeClr w14:val="tx1"/>
                  </w14:solidFill>
                </w14:textFill>
              </w:rPr>
              <w:drawing>
                <wp:inline distT="0" distB="0" distL="114300" distR="114300">
                  <wp:extent cx="2400300" cy="22764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2400300" cy="2276475"/>
                          </a:xfrm>
                          <a:prstGeom prst="rect">
                            <a:avLst/>
                          </a:prstGeom>
                          <a:noFill/>
                          <a:ln w="9525">
                            <a:noFill/>
                          </a:ln>
                        </pic:spPr>
                      </pic:pic>
                    </a:graphicData>
                  </a:graphic>
                </wp:inline>
              </w:drawing>
            </w:r>
          </w:p>
        </w:tc>
      </w:tr>
    </w:tbl>
    <w:p>
      <w:pPr>
        <w:keepNext w:val="0"/>
        <w:keepLines w:val="0"/>
        <w:pageBreakBefore w:val="0"/>
        <w:widowControl/>
        <w:suppressLineNumbers w:val="0"/>
        <w:kinsoku/>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    （3）支付宝可点击“健康码”，填写基本信息，获取健康码。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（4）海南政务服务、椰城市民云APP均可获取“健康码”。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2.“通信大数据行程卡”获取方式如下：</w:t>
      </w:r>
    </w:p>
    <w:tbl>
      <w:tblPr>
        <w:tblStyle w:val="3"/>
        <w:tblW w:w="3816"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
        <w:gridCol w:w="3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jc w:val="center"/>
        </w:trPr>
        <w:tc>
          <w:tcPr>
            <w:tcW w:w="6" w:type="dxa"/>
            <w:shd w:val="clear" w:color="auto" w:fill="FFFFFF"/>
            <w:vAlign w:val="center"/>
          </w:tcPr>
          <w:p>
            <w:pPr>
              <w:jc w:val="left"/>
              <w:rPr>
                <w:rFonts w:hint="eastAsia" w:ascii="微软雅黑" w:hAnsi="微软雅黑" w:eastAsia="微软雅黑" w:cs="微软雅黑"/>
                <w:i w:val="0"/>
                <w:iCs w:val="0"/>
                <w:caps w:val="0"/>
                <w:color w:val="000000" w:themeColor="text1"/>
                <w:spacing w:val="0"/>
                <w:sz w:val="18"/>
                <w:szCs w:val="18"/>
                <w14:textFill>
                  <w14:solidFill>
                    <w14:schemeClr w14:val="tx1"/>
                  </w14:solidFill>
                </w14:textFill>
              </w:rPr>
            </w:pPr>
          </w:p>
        </w:tc>
        <w:tc>
          <w:tcPr>
            <w:tcW w:w="3810"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themeColor="text1"/>
                <w:spacing w:val="0"/>
                <w:sz w:val="18"/>
                <w:szCs w:val="18"/>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18"/>
                <w:szCs w:val="18"/>
                <w:lang w:val="en-US" w:eastAsia="zh-CN" w:bidi="ar"/>
                <w14:textFill>
                  <w14:solidFill>
                    <w14:schemeClr w14:val="tx1"/>
                  </w14:solidFill>
                </w14:textFill>
              </w:rPr>
              <w:drawing>
                <wp:inline distT="0" distB="0" distL="114300" distR="114300">
                  <wp:extent cx="2409825" cy="2276475"/>
                  <wp:effectExtent l="0" t="0" r="9525"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2409825" cy="2276475"/>
                          </a:xfrm>
                          <a:prstGeom prst="rect">
                            <a:avLst/>
                          </a:prstGeom>
                          <a:noFill/>
                          <a:ln w="9525">
                            <a:noFill/>
                          </a:ln>
                        </pic:spPr>
                      </pic:pic>
                    </a:graphicData>
                  </a:graphic>
                </wp:inline>
              </w:drawing>
            </w:r>
          </w:p>
        </w:tc>
      </w:tr>
    </w:tbl>
    <w:p>
      <w:pPr>
        <w:keepNext w:val="0"/>
        <w:keepLines w:val="0"/>
        <w:widowControl/>
        <w:suppressLineNumbers w:val="0"/>
        <w:jc w:val="left"/>
        <w:rPr>
          <w:color w:val="000000" w:themeColor="text1"/>
          <w14:textFill>
            <w14:solidFill>
              <w14:schemeClr w14:val="tx1"/>
            </w14:solidFill>
          </w14:textFill>
        </w:rPr>
      </w:pPr>
      <w:r>
        <w:rPr>
          <w:rFonts w:hint="default" w:ascii="仿宋_GB2312" w:hAnsi="仿宋"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    （</w:t>
      </w:r>
      <w:r>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t>1）打开微信“扫一扫”输入手机号及短信验证码进行查询。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0"/>
        <w:jc w:val="both"/>
        <w:rPr>
          <w:rFonts w:hint="default" w:ascii="Calibri" w:hAnsi="Calibri" w:cs="Calibri"/>
          <w:i w:val="0"/>
          <w:iCs w:val="0"/>
          <w:caps w:val="0"/>
          <w:color w:val="000000" w:themeColor="text1"/>
          <w:spacing w:val="0"/>
          <w:sz w:val="21"/>
          <w:szCs w:val="21"/>
          <w14:textFill>
            <w14:solidFill>
              <w14:schemeClr w14:val="tx1"/>
            </w14:solidFill>
          </w14:textFill>
        </w:rPr>
      </w:pPr>
      <w:r>
        <w:rPr>
          <w:rFonts w:hint="default" w:ascii="仿宋_GB2312" w:hAnsi="仿宋"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2）打开微信点击“发现”—“搜一搜”，在搜索框输入“通信大数据行程卡”，进入“国务院客户端”，填写手机号及验证码，获取大数据通信大数据行程卡。</w:t>
      </w:r>
    </w:p>
    <w:p>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jMGY2M2RkNzA1NTY1ZmQ3ZWQxZDNkYjAzNmFjNmEifQ=="/>
  </w:docVars>
  <w:rsids>
    <w:rsidRoot w:val="74203A36"/>
    <w:rsid w:val="035A66F5"/>
    <w:rsid w:val="07873A5C"/>
    <w:rsid w:val="0A466333"/>
    <w:rsid w:val="0B91045B"/>
    <w:rsid w:val="164976AB"/>
    <w:rsid w:val="19DD0836"/>
    <w:rsid w:val="1A461709"/>
    <w:rsid w:val="1A9A2283"/>
    <w:rsid w:val="1B8847D2"/>
    <w:rsid w:val="218E2416"/>
    <w:rsid w:val="258C59A3"/>
    <w:rsid w:val="36211F7D"/>
    <w:rsid w:val="3AE40786"/>
    <w:rsid w:val="42254279"/>
    <w:rsid w:val="45044742"/>
    <w:rsid w:val="4C4C777C"/>
    <w:rsid w:val="56F76347"/>
    <w:rsid w:val="5FE315A4"/>
    <w:rsid w:val="62230BFC"/>
    <w:rsid w:val="659E6C3C"/>
    <w:rsid w:val="6BCB7ABB"/>
    <w:rsid w:val="6DFC6EB3"/>
    <w:rsid w:val="74203A36"/>
    <w:rsid w:val="75B4272A"/>
    <w:rsid w:val="77BF424C"/>
    <w:rsid w:val="7FC06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1396</Characters>
  <Lines>0</Lines>
  <Paragraphs>0</Paragraphs>
  <TotalTime>0</TotalTime>
  <ScaleCrop>false</ScaleCrop>
  <LinksUpToDate>false</LinksUpToDate>
  <CharactersWithSpaces>1396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2022-03-10T07:55:00Z</dcterms:created>
  <dc:creator>冰冰</dc:creator>
  <cp:lastModifiedBy>南国人力-小陈</cp:lastModifiedBy>
  <dcterms:modified xsi:type="dcterms:W3CDTF">2022-10-16T02:32:02Z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9F46749A3B5F4E0EA0642809D528F8ED</vt:lpwstr>
  </property>
</Properties>
</file>