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79B" w:rsidRPr="0033779B" w:rsidRDefault="00906608" w:rsidP="0033779B">
      <w:pPr>
        <w:spacing w:line="360" w:lineRule="auto"/>
        <w:jc w:val="center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医学教育网初级药士</w:t>
      </w:r>
      <w:r w:rsidR="0033779B" w:rsidRPr="0033779B">
        <w:rPr>
          <w:rFonts w:ascii="宋体" w:eastAsia="宋体" w:hAnsi="宋体" w:hint="eastAsia"/>
          <w:b/>
          <w:sz w:val="24"/>
          <w:szCs w:val="24"/>
        </w:rPr>
        <w:t>：《答疑周刊》</w:t>
      </w:r>
      <w:r w:rsidR="005D5E8A">
        <w:rPr>
          <w:rFonts w:ascii="宋体" w:eastAsia="宋体" w:hAnsi="宋体" w:hint="eastAsia"/>
          <w:b/>
          <w:sz w:val="24"/>
          <w:szCs w:val="24"/>
        </w:rPr>
        <w:t>2023</w:t>
      </w:r>
      <w:r w:rsidR="0033779B" w:rsidRPr="0033779B">
        <w:rPr>
          <w:rFonts w:ascii="宋体" w:eastAsia="宋体" w:hAnsi="宋体" w:hint="eastAsia"/>
          <w:b/>
          <w:sz w:val="24"/>
          <w:szCs w:val="24"/>
        </w:rPr>
        <w:t>年第</w:t>
      </w:r>
      <w:r w:rsidR="005D5E8A">
        <w:rPr>
          <w:rFonts w:ascii="宋体" w:eastAsia="宋体" w:hAnsi="宋体" w:hint="eastAsia"/>
          <w:b/>
          <w:sz w:val="24"/>
          <w:szCs w:val="24"/>
        </w:rPr>
        <w:t>2</w:t>
      </w:r>
      <w:r w:rsidR="0033779B" w:rsidRPr="0033779B">
        <w:rPr>
          <w:rFonts w:ascii="宋体" w:eastAsia="宋体" w:hAnsi="宋体" w:hint="eastAsia"/>
          <w:b/>
          <w:sz w:val="24"/>
          <w:szCs w:val="24"/>
        </w:rPr>
        <w:t>期</w:t>
      </w:r>
    </w:p>
    <w:p w:rsidR="0033779B" w:rsidRPr="0033779B" w:rsidRDefault="0033779B" w:rsidP="0033779B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 w:rsidRPr="0033779B">
        <w:rPr>
          <w:rFonts w:ascii="宋体" w:eastAsia="宋体" w:hAnsi="宋体" w:hint="eastAsia"/>
          <w:b/>
          <w:sz w:val="24"/>
          <w:szCs w:val="24"/>
        </w:rPr>
        <w:t>问题索引：</w:t>
      </w:r>
    </w:p>
    <w:p w:rsidR="0033779B" w:rsidRPr="0033779B" w:rsidRDefault="0033779B" w:rsidP="0033779B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33779B">
        <w:rPr>
          <w:rFonts w:ascii="宋体" w:eastAsia="宋体" w:hAnsi="宋体" w:hint="eastAsia"/>
          <w:b/>
          <w:sz w:val="24"/>
          <w:szCs w:val="24"/>
        </w:rPr>
        <w:t>1.【问题】COPD急性加重期抗菌药物应用有哪些？</w:t>
      </w:r>
    </w:p>
    <w:p w:rsidR="0033779B" w:rsidRPr="0033779B" w:rsidRDefault="0033779B" w:rsidP="0033779B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33779B">
        <w:rPr>
          <w:rFonts w:ascii="宋体" w:eastAsia="宋体" w:hAnsi="宋体" w:hint="eastAsia"/>
          <w:b/>
          <w:sz w:val="24"/>
          <w:szCs w:val="24"/>
        </w:rPr>
        <w:t>2.【问题】因果关系评价原则有哪些？</w:t>
      </w:r>
    </w:p>
    <w:p w:rsidR="0033779B" w:rsidRPr="0033779B" w:rsidRDefault="0033779B" w:rsidP="005D5E8A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33779B">
        <w:rPr>
          <w:rFonts w:ascii="宋体" w:eastAsia="宋体" w:hAnsi="宋体" w:hint="eastAsia"/>
          <w:b/>
          <w:sz w:val="24"/>
          <w:szCs w:val="24"/>
        </w:rPr>
        <w:t>3.【问题】</w:t>
      </w:r>
      <w:r w:rsidR="005D5E8A" w:rsidRPr="005D5E8A">
        <w:rPr>
          <w:rFonts w:ascii="宋体" w:eastAsia="宋体" w:hAnsi="宋体" w:hint="eastAsia"/>
          <w:b/>
          <w:sz w:val="24"/>
          <w:szCs w:val="24"/>
        </w:rPr>
        <w:t>药物的构效关系与量效关系有哪些？</w:t>
      </w:r>
    </w:p>
    <w:p w:rsidR="0033779B" w:rsidRPr="0033779B" w:rsidRDefault="0033779B" w:rsidP="0033779B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 w:rsidRPr="0033779B">
        <w:rPr>
          <w:rFonts w:ascii="宋体" w:eastAsia="宋体" w:hAnsi="宋体" w:hint="eastAsia"/>
          <w:b/>
          <w:sz w:val="24"/>
          <w:szCs w:val="24"/>
        </w:rPr>
        <w:t>具体解答：</w:t>
      </w:r>
    </w:p>
    <w:p w:rsidR="0033779B" w:rsidRPr="0033779B" w:rsidRDefault="0033779B" w:rsidP="0033779B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33779B">
        <w:rPr>
          <w:rFonts w:ascii="宋体" w:eastAsia="宋体" w:hAnsi="宋体" w:hint="eastAsia"/>
          <w:b/>
          <w:sz w:val="24"/>
          <w:szCs w:val="24"/>
        </w:rPr>
        <w:t>1.COPD急性加重期抗菌药物应用有哪些？</w:t>
      </w:r>
    </w:p>
    <w:tbl>
      <w:tblPr>
        <w:tblW w:w="45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09"/>
        <w:gridCol w:w="6284"/>
      </w:tblGrid>
      <w:tr w:rsidR="0033779B" w:rsidRPr="0033779B" w:rsidTr="00FE1558">
        <w:trPr>
          <w:tblCellSpacing w:w="0" w:type="dxa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急性加重病情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宜选用的抗生素</w:t>
            </w:r>
          </w:p>
        </w:tc>
      </w:tr>
      <w:tr w:rsidR="0033779B" w:rsidRPr="0033779B" w:rsidTr="00FE1558">
        <w:trPr>
          <w:tblCellSpacing w:w="0" w:type="dxa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轻度及中度COPD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青霉素、β-内酰胺酶抑制剂（阿莫西林/克拉维酸等）、大环内酯类（阿奇霉素、克拉霉素、罗红霉素等）、第一代或第二代头孢菌素（头孢呋辛、头孢克洛等），多西环素、左氧氟沙星等，一般可口服</w:t>
            </w:r>
          </w:p>
        </w:tc>
      </w:tr>
      <w:tr w:rsidR="0033779B" w:rsidRPr="0033779B" w:rsidTr="00FE1558">
        <w:trPr>
          <w:tblCellSpacing w:w="0" w:type="dxa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重度及极重度COPD</w:t>
            </w: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无铜绿假单胞菌感染危险因素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β-内酰胺酶抑制剂（舒克）、第二代头孢菌素（头孢呋辛等），第三代头孢菌素（头孢曲松、头孢噻肟等），氟喹诺酮类（左氧氟沙星、莫西沙星、加替沙星等）</w:t>
            </w:r>
          </w:p>
        </w:tc>
      </w:tr>
      <w:tr w:rsidR="0033779B" w:rsidRPr="0033779B" w:rsidTr="00FE1558">
        <w:trPr>
          <w:tblCellSpacing w:w="0" w:type="dxa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重度及极重度COPD</w:t>
            </w: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有铜绿假单胞菌感染危险因素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第三代头孢菌素（头孢他啶）、头孢哌酮/舒巴坦、哌拉西林/他唑巴坦、亚胺培南、美罗培南等。</w:t>
            </w: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也可联合应用氨基苷类、喹诺酮类（环丙沙星等）</w:t>
            </w:r>
          </w:p>
        </w:tc>
      </w:tr>
    </w:tbl>
    <w:p w:rsidR="0033779B" w:rsidRPr="0033779B" w:rsidRDefault="0033779B" w:rsidP="0033779B">
      <w:pPr>
        <w:spacing w:line="360" w:lineRule="auto"/>
        <w:ind w:firstLineChars="200" w:firstLine="482"/>
        <w:rPr>
          <w:rFonts w:ascii="宋体" w:eastAsia="宋体" w:hAnsi="宋体"/>
          <w:b/>
          <w:sz w:val="24"/>
          <w:szCs w:val="24"/>
        </w:rPr>
      </w:pPr>
      <w:r w:rsidRPr="0033779B">
        <w:rPr>
          <w:rFonts w:ascii="宋体" w:eastAsia="宋体" w:hAnsi="宋体" w:hint="eastAsia"/>
          <w:b/>
          <w:sz w:val="24"/>
          <w:szCs w:val="24"/>
        </w:rPr>
        <w:t>2.</w:t>
      </w:r>
      <w:r w:rsidRPr="0033779B">
        <w:rPr>
          <w:rFonts w:ascii="宋体" w:eastAsia="宋体" w:hAnsi="宋体" w:hint="eastAsia"/>
          <w:sz w:val="24"/>
          <w:szCs w:val="24"/>
        </w:rPr>
        <w:t xml:space="preserve"> </w:t>
      </w:r>
      <w:r w:rsidRPr="0033779B">
        <w:rPr>
          <w:rFonts w:ascii="宋体" w:eastAsia="宋体" w:hAnsi="宋体" w:hint="eastAsia"/>
          <w:b/>
          <w:sz w:val="24"/>
          <w:szCs w:val="24"/>
        </w:rPr>
        <w:t>因果关系评价原则有哪些？</w:t>
      </w:r>
    </w:p>
    <w:tbl>
      <w:tblPr>
        <w:tblW w:w="45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59"/>
        <w:gridCol w:w="6934"/>
      </w:tblGrid>
      <w:tr w:rsidR="0033779B" w:rsidRPr="0033779B" w:rsidTr="0033779B">
        <w:trPr>
          <w:tblCellSpacing w:w="0" w:type="dxa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肯定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用药时间顺序合理；停药后反应停止；重新用药，反应再现；与已知药品不良反应相符合</w:t>
            </w:r>
          </w:p>
        </w:tc>
      </w:tr>
      <w:tr w:rsidR="0033779B" w:rsidRPr="0033779B" w:rsidTr="0033779B">
        <w:trPr>
          <w:tblCellSpacing w:w="0" w:type="dxa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很可</w:t>
            </w: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时间顺序合理；该反应与已知的药品不良反应相符合；停药后反应</w:t>
            </w: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停止；无法用患者疾病进行合理解释</w:t>
            </w:r>
          </w:p>
        </w:tc>
      </w:tr>
      <w:tr w:rsidR="0033779B" w:rsidRPr="0033779B" w:rsidTr="0033779B">
        <w:trPr>
          <w:tblCellSpacing w:w="0" w:type="dxa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可能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时间顺序合理；与已知的药品不良反应相符合；患者疾病或其他治疗也可造成这样的结果</w:t>
            </w:r>
          </w:p>
        </w:tc>
      </w:tr>
      <w:tr w:rsidR="0033779B" w:rsidRPr="0033779B" w:rsidTr="0033779B">
        <w:trPr>
          <w:tblCellSpacing w:w="0" w:type="dxa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可疑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时间顺序合理；与已知的药品不良反应相符合；不能合理的用患者疾病进行解释</w:t>
            </w:r>
          </w:p>
        </w:tc>
      </w:tr>
      <w:tr w:rsidR="0033779B" w:rsidRPr="0033779B" w:rsidTr="0033779B">
        <w:trPr>
          <w:tblCellSpacing w:w="0" w:type="dxa"/>
          <w:jc w:val="center"/>
        </w:trPr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不可能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33779B" w:rsidRPr="0033779B" w:rsidRDefault="0033779B" w:rsidP="0033779B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377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不符合上述各项指标</w:t>
            </w:r>
          </w:p>
        </w:tc>
      </w:tr>
    </w:tbl>
    <w:p w:rsidR="0033779B" w:rsidRPr="0033779B" w:rsidRDefault="0033779B" w:rsidP="005D5E8A">
      <w:pPr>
        <w:spacing w:line="360" w:lineRule="auto"/>
        <w:rPr>
          <w:rFonts w:ascii="宋体" w:eastAsia="宋体" w:hAnsi="宋体"/>
          <w:b/>
          <w:sz w:val="24"/>
          <w:szCs w:val="24"/>
        </w:rPr>
      </w:pPr>
      <w:r w:rsidRPr="0033779B">
        <w:rPr>
          <w:rFonts w:ascii="宋体" w:eastAsia="宋体" w:hAnsi="宋体" w:hint="eastAsia"/>
          <w:b/>
          <w:sz w:val="24"/>
          <w:szCs w:val="24"/>
        </w:rPr>
        <w:t>3.</w:t>
      </w:r>
      <w:r w:rsidR="005D5E8A" w:rsidRPr="005D5E8A">
        <w:t xml:space="preserve"> </w:t>
      </w:r>
      <w:r w:rsidR="005D5E8A" w:rsidRPr="005D5E8A">
        <w:rPr>
          <w:rFonts w:ascii="宋体" w:eastAsia="宋体" w:hAnsi="宋体" w:hint="eastAsia"/>
          <w:b/>
          <w:sz w:val="24"/>
          <w:szCs w:val="24"/>
        </w:rPr>
        <w:t>药物的构效关系与量效关系有哪些？</w:t>
      </w:r>
    </w:p>
    <w:p w:rsidR="005D5E8A" w:rsidRPr="005D5E8A" w:rsidRDefault="005D5E8A" w:rsidP="005D5E8A">
      <w:pPr>
        <w:spacing w:line="360" w:lineRule="auto"/>
        <w:rPr>
          <w:rFonts w:ascii="宋体" w:eastAsia="宋体" w:hAnsi="宋体"/>
          <w:sz w:val="24"/>
          <w:szCs w:val="24"/>
        </w:rPr>
      </w:pPr>
      <w:r w:rsidRPr="005D5E8A">
        <w:rPr>
          <w:rFonts w:ascii="宋体" w:eastAsia="宋体" w:hAnsi="宋体" w:hint="eastAsia"/>
          <w:sz w:val="24"/>
          <w:szCs w:val="24"/>
        </w:rPr>
        <w:t>1.药物的构效关系　药物的化学结构与药理活性或毒性之间的关系称为构效关系。</w:t>
      </w:r>
    </w:p>
    <w:p w:rsidR="005D5E8A" w:rsidRPr="005D5E8A" w:rsidRDefault="005D5E8A" w:rsidP="005D5E8A">
      <w:pPr>
        <w:spacing w:line="360" w:lineRule="auto"/>
        <w:rPr>
          <w:rFonts w:ascii="宋体" w:eastAsia="宋体" w:hAnsi="宋体"/>
          <w:sz w:val="24"/>
          <w:szCs w:val="24"/>
        </w:rPr>
      </w:pPr>
      <w:r w:rsidRPr="005D5E8A">
        <w:rPr>
          <w:rFonts w:ascii="宋体" w:eastAsia="宋体" w:hAnsi="宋体" w:hint="eastAsia"/>
          <w:sz w:val="24"/>
          <w:szCs w:val="24"/>
        </w:rPr>
        <w:t>2.药物的量效关系 在一定剂量范围内，药物剂量的大小与血药浓度的高低成正比，亦与药效的强弱有关。</w:t>
      </w:r>
    </w:p>
    <w:p w:rsidR="005D5E8A" w:rsidRPr="005D5E8A" w:rsidRDefault="005D5E8A" w:rsidP="005D5E8A">
      <w:pPr>
        <w:spacing w:line="360" w:lineRule="auto"/>
        <w:rPr>
          <w:rFonts w:ascii="宋体" w:eastAsia="宋体" w:hAnsi="宋体"/>
          <w:sz w:val="24"/>
          <w:szCs w:val="24"/>
        </w:rPr>
      </w:pPr>
      <w:r w:rsidRPr="005D5E8A">
        <w:rPr>
          <w:rFonts w:ascii="宋体" w:eastAsia="宋体" w:hAnsi="宋体" w:hint="eastAsia"/>
          <w:sz w:val="24"/>
          <w:szCs w:val="24"/>
        </w:rPr>
        <w:t>①最小有效量：能引起药理效应的最小剂量。</w:t>
      </w:r>
    </w:p>
    <w:p w:rsidR="005D5E8A" w:rsidRPr="005D5E8A" w:rsidRDefault="005D5E8A" w:rsidP="005D5E8A">
      <w:pPr>
        <w:spacing w:line="360" w:lineRule="auto"/>
        <w:rPr>
          <w:rFonts w:ascii="宋体" w:eastAsia="宋体" w:hAnsi="宋体"/>
          <w:sz w:val="24"/>
          <w:szCs w:val="24"/>
        </w:rPr>
      </w:pPr>
      <w:r w:rsidRPr="005D5E8A">
        <w:rPr>
          <w:rFonts w:ascii="宋体" w:eastAsia="宋体" w:hAnsi="宋体" w:hint="eastAsia"/>
          <w:sz w:val="24"/>
          <w:szCs w:val="24"/>
        </w:rPr>
        <w:t>②最小中毒量：出现中毒症状的最小剂量。</w:t>
      </w:r>
    </w:p>
    <w:p w:rsidR="005D5E8A" w:rsidRPr="005D5E8A" w:rsidRDefault="005D5E8A" w:rsidP="005D5E8A">
      <w:pPr>
        <w:spacing w:line="360" w:lineRule="auto"/>
        <w:rPr>
          <w:rFonts w:ascii="宋体" w:eastAsia="宋体" w:hAnsi="宋体"/>
          <w:sz w:val="24"/>
          <w:szCs w:val="24"/>
        </w:rPr>
      </w:pPr>
      <w:r w:rsidRPr="005D5E8A">
        <w:rPr>
          <w:rFonts w:ascii="宋体" w:eastAsia="宋体" w:hAnsi="宋体" w:hint="eastAsia"/>
          <w:sz w:val="24"/>
          <w:szCs w:val="24"/>
        </w:rPr>
        <w:t>③极量（最大治疗量）：出现疗效的最大剂量称极量，是安全用药的最大限度。</w:t>
      </w:r>
    </w:p>
    <w:p w:rsidR="005D5E8A" w:rsidRPr="005D5E8A" w:rsidRDefault="005D5E8A" w:rsidP="005D5E8A">
      <w:pPr>
        <w:spacing w:line="360" w:lineRule="auto"/>
        <w:rPr>
          <w:rFonts w:ascii="宋体" w:eastAsia="宋体" w:hAnsi="宋体"/>
          <w:sz w:val="24"/>
          <w:szCs w:val="24"/>
        </w:rPr>
      </w:pPr>
      <w:r w:rsidRPr="005D5E8A">
        <w:rPr>
          <w:rFonts w:ascii="宋体" w:eastAsia="宋体" w:hAnsi="宋体" w:hint="eastAsia"/>
          <w:sz w:val="24"/>
          <w:szCs w:val="24"/>
        </w:rPr>
        <w:t>3.半数有效量（ED</w:t>
      </w:r>
      <w:r w:rsidRPr="005D5E8A">
        <w:rPr>
          <w:rFonts w:ascii="宋体" w:eastAsia="宋体" w:hAnsi="宋体" w:hint="eastAsia"/>
          <w:sz w:val="24"/>
          <w:szCs w:val="24"/>
          <w:vertAlign w:val="subscript"/>
        </w:rPr>
        <w:t>50</w:t>
      </w:r>
      <w:r w:rsidRPr="005D5E8A">
        <w:rPr>
          <w:rFonts w:ascii="宋体" w:eastAsia="宋体" w:hAnsi="宋体" w:hint="eastAsia"/>
          <w:sz w:val="24"/>
          <w:szCs w:val="24"/>
        </w:rPr>
        <w:t>）：能引起50％最大效应（量反应）或50％阳性反应（质反应）的药物剂量。</w:t>
      </w:r>
    </w:p>
    <w:p w:rsidR="005D5E8A" w:rsidRPr="005D5E8A" w:rsidRDefault="005D5E8A" w:rsidP="005D5E8A">
      <w:pPr>
        <w:spacing w:line="360" w:lineRule="auto"/>
        <w:rPr>
          <w:rFonts w:ascii="宋体" w:eastAsia="宋体" w:hAnsi="宋体"/>
          <w:sz w:val="24"/>
          <w:szCs w:val="24"/>
        </w:rPr>
      </w:pPr>
      <w:r w:rsidRPr="005D5E8A">
        <w:rPr>
          <w:rFonts w:ascii="宋体" w:eastAsia="宋体" w:hAnsi="宋体" w:hint="eastAsia"/>
          <w:sz w:val="24"/>
          <w:szCs w:val="24"/>
        </w:rPr>
        <w:t>4.半数致死量（LD</w:t>
      </w:r>
      <w:r w:rsidRPr="005D5E8A">
        <w:rPr>
          <w:rFonts w:ascii="宋体" w:eastAsia="宋体" w:hAnsi="宋体" w:hint="eastAsia"/>
          <w:sz w:val="24"/>
          <w:szCs w:val="24"/>
          <w:vertAlign w:val="subscript"/>
        </w:rPr>
        <w:t>50</w:t>
      </w:r>
      <w:r w:rsidRPr="005D5E8A">
        <w:rPr>
          <w:rFonts w:ascii="宋体" w:eastAsia="宋体" w:hAnsi="宋体" w:hint="eastAsia"/>
          <w:sz w:val="24"/>
          <w:szCs w:val="24"/>
        </w:rPr>
        <w:t>）：能引起50％实验动物死亡的药物剂量。</w:t>
      </w:r>
    </w:p>
    <w:p w:rsidR="005D5E8A" w:rsidRPr="005D5E8A" w:rsidRDefault="005D5E8A" w:rsidP="005D5E8A">
      <w:pPr>
        <w:spacing w:line="360" w:lineRule="auto"/>
        <w:rPr>
          <w:rFonts w:ascii="宋体" w:eastAsia="宋体" w:hAnsi="宋体"/>
          <w:sz w:val="24"/>
          <w:szCs w:val="24"/>
        </w:rPr>
      </w:pPr>
      <w:r w:rsidRPr="005D5E8A">
        <w:rPr>
          <w:rFonts w:ascii="宋体" w:eastAsia="宋体" w:hAnsi="宋体" w:hint="eastAsia"/>
          <w:sz w:val="24"/>
          <w:szCs w:val="24"/>
        </w:rPr>
        <w:t>5.治疗指数（TI）：半数致死量与半数有效量的比值（LD</w:t>
      </w:r>
      <w:r w:rsidRPr="005D5E8A">
        <w:rPr>
          <w:rFonts w:ascii="宋体" w:eastAsia="宋体" w:hAnsi="宋体" w:hint="eastAsia"/>
          <w:sz w:val="24"/>
          <w:szCs w:val="24"/>
          <w:vertAlign w:val="subscript"/>
        </w:rPr>
        <w:t>50</w:t>
      </w:r>
      <w:r w:rsidRPr="005D5E8A">
        <w:rPr>
          <w:rFonts w:ascii="宋体" w:eastAsia="宋体" w:hAnsi="宋体" w:hint="eastAsia"/>
          <w:sz w:val="24"/>
          <w:szCs w:val="24"/>
        </w:rPr>
        <w:t>/ ED</w:t>
      </w:r>
      <w:r w:rsidRPr="005D5E8A">
        <w:rPr>
          <w:rFonts w:ascii="宋体" w:eastAsia="宋体" w:hAnsi="宋体" w:hint="eastAsia"/>
          <w:sz w:val="24"/>
          <w:szCs w:val="24"/>
          <w:vertAlign w:val="subscript"/>
        </w:rPr>
        <w:t>50</w:t>
      </w:r>
      <w:r w:rsidRPr="005D5E8A">
        <w:rPr>
          <w:rFonts w:ascii="宋体" w:eastAsia="宋体" w:hAnsi="宋体" w:hint="eastAsia"/>
          <w:sz w:val="24"/>
          <w:szCs w:val="24"/>
        </w:rPr>
        <w:t>）。可用TI来估计药物的安全性，其值越大，表示药物越安全。一般认为，比较安全的药物，其治疗指数不应小于3。</w:t>
      </w:r>
    </w:p>
    <w:p w:rsidR="005522A5" w:rsidRPr="0033779B" w:rsidRDefault="005D5E8A" w:rsidP="005D5E8A">
      <w:pPr>
        <w:spacing w:line="360" w:lineRule="auto"/>
        <w:rPr>
          <w:rFonts w:ascii="宋体" w:eastAsia="宋体" w:hAnsi="宋体"/>
          <w:sz w:val="24"/>
          <w:szCs w:val="24"/>
        </w:rPr>
      </w:pPr>
      <w:r w:rsidRPr="005D5E8A">
        <w:rPr>
          <w:rFonts w:ascii="宋体" w:eastAsia="宋体" w:hAnsi="宋体" w:hint="eastAsia"/>
          <w:sz w:val="24"/>
          <w:szCs w:val="24"/>
        </w:rPr>
        <w:t>6.安全指数：5％致死量与95％有效量的比值（LD</w:t>
      </w:r>
      <w:r w:rsidRPr="005D5E8A">
        <w:rPr>
          <w:rFonts w:ascii="宋体" w:eastAsia="宋体" w:hAnsi="宋体" w:hint="eastAsia"/>
          <w:sz w:val="24"/>
          <w:szCs w:val="24"/>
          <w:vertAlign w:val="subscript"/>
        </w:rPr>
        <w:t>5</w:t>
      </w:r>
      <w:r w:rsidRPr="005D5E8A">
        <w:rPr>
          <w:rFonts w:ascii="宋体" w:eastAsia="宋体" w:hAnsi="宋体" w:hint="eastAsia"/>
          <w:sz w:val="24"/>
          <w:szCs w:val="24"/>
        </w:rPr>
        <w:t>/ED</w:t>
      </w:r>
      <w:r w:rsidRPr="005D5E8A">
        <w:rPr>
          <w:rFonts w:ascii="宋体" w:eastAsia="宋体" w:hAnsi="宋体" w:hint="eastAsia"/>
          <w:sz w:val="24"/>
          <w:szCs w:val="24"/>
          <w:vertAlign w:val="subscript"/>
        </w:rPr>
        <w:t>95</w:t>
      </w:r>
      <w:r w:rsidRPr="005D5E8A">
        <w:rPr>
          <w:rFonts w:ascii="宋体" w:eastAsia="宋体" w:hAnsi="宋体" w:hint="eastAsia"/>
          <w:sz w:val="24"/>
          <w:szCs w:val="24"/>
        </w:rPr>
        <w:t>）。</w:t>
      </w:r>
    </w:p>
    <w:sectPr w:rsidR="005522A5" w:rsidRPr="0033779B" w:rsidSect="000E31C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72ED" w:rsidRDefault="002C72ED" w:rsidP="0033779B">
      <w:r>
        <w:separator/>
      </w:r>
    </w:p>
  </w:endnote>
  <w:endnote w:type="continuationSeparator" w:id="1">
    <w:p w:rsidR="002C72ED" w:rsidRDefault="002C72ED" w:rsidP="003377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72ED" w:rsidRDefault="002C72ED" w:rsidP="0033779B">
      <w:r>
        <w:separator/>
      </w:r>
    </w:p>
  </w:footnote>
  <w:footnote w:type="continuationSeparator" w:id="1">
    <w:p w:rsidR="002C72ED" w:rsidRDefault="002C72ED" w:rsidP="003377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hint="eastAsia"/>
        <w:color w:val="0000FF"/>
      </w:rPr>
      <w:id w:val="20256268"/>
      <w:docPartObj>
        <w:docPartGallery w:val="Watermarks"/>
        <w:docPartUnique/>
      </w:docPartObj>
    </w:sdtPr>
    <w:sdtContent>
      <w:p w:rsidR="000248A6" w:rsidRPr="000248A6" w:rsidRDefault="005522A5" w:rsidP="000248A6">
        <w:pPr>
          <w:pStyle w:val="a3"/>
          <w:rPr>
            <w:color w:val="0000FF"/>
          </w:rPr>
        </w:pPr>
        <w:r>
          <w:rPr>
            <w:rFonts w:ascii="宋体" w:eastAsia="宋体" w:hAnsi="宋体" w:cs="宋体"/>
            <w:noProof/>
            <w:sz w:val="24"/>
            <w:szCs w:val="24"/>
          </w:rPr>
          <w:drawing>
            <wp:inline distT="0" distB="0" distL="114300" distR="114300">
              <wp:extent cx="1590675" cy="419100"/>
              <wp:effectExtent l="0" t="0" r="9525" b="0"/>
              <wp:docPr id="3" name="图片 1" descr="IMG_25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图片 1" descr="IMG_256"/>
                      <pic:cNvPicPr>
                        <a:picLocks noChangeAspect="1"/>
                      </pic:cNvPicPr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590675" cy="4191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pic:spPr>
                  </pic:pic>
                </a:graphicData>
              </a:graphic>
            </wp:inline>
          </w:drawing>
        </w:r>
        <w:r>
          <w:rPr>
            <w:rFonts w:hint="eastAsia"/>
            <w:color w:val="0000FF"/>
          </w:rPr>
          <w:t xml:space="preserve">                                         </w:t>
        </w:r>
        <w:r>
          <w:rPr>
            <w:rFonts w:hint="eastAsia"/>
            <w:color w:val="0000FF"/>
          </w:rPr>
          <w:t>免费咨询热线：</w:t>
        </w:r>
        <w:r>
          <w:rPr>
            <w:rFonts w:hint="eastAsia"/>
            <w:color w:val="0000FF"/>
          </w:rPr>
          <w:t>4006501888</w:t>
        </w:r>
        <w:r>
          <w:rPr>
            <w:noProof/>
          </w:rPr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274310" cy="4549775"/>
              <wp:effectExtent l="0" t="0" r="2540" b="3175"/>
              <wp:wrapNone/>
              <wp:docPr id="4" name="WordPictureWatermark11609" descr="图层 1-透明度70%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WordPictureWatermark11609" descr="图层 1-透明度70%"/>
                      <pic:cNvPicPr>
                        <a:picLocks noChangeAspect="1"/>
                      </pic:cNvPicPr>
                    </pic:nvPicPr>
                    <pic:blipFill>
                      <a:blip r:embed="rId2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4310" cy="4549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</w:p>
    </w:sdtContent>
  </w:sdt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779B"/>
    <w:rsid w:val="002C72ED"/>
    <w:rsid w:val="0033779B"/>
    <w:rsid w:val="005522A5"/>
    <w:rsid w:val="005D5E8A"/>
    <w:rsid w:val="00706D5B"/>
    <w:rsid w:val="00906608"/>
    <w:rsid w:val="00A561C5"/>
    <w:rsid w:val="00D10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7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7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3377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7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779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779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779B"/>
    <w:rPr>
      <w:sz w:val="18"/>
      <w:szCs w:val="18"/>
    </w:rPr>
  </w:style>
  <w:style w:type="character" w:customStyle="1" w:styleId="font14zd">
    <w:name w:val="font14zd"/>
    <w:basedOn w:val="a0"/>
    <w:rsid w:val="003377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96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2021-12-13T06:59:00Z</dcterms:created>
  <dcterms:modified xsi:type="dcterms:W3CDTF">2022-09-29T06:04:00Z</dcterms:modified>
</cp:coreProperties>
</file>