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/>
          <w:color w:val="auto"/>
          <w:sz w:val="40"/>
          <w:szCs w:val="44"/>
          <w:lang w:bidi="ar"/>
        </w:rPr>
      </w:pPr>
      <w:r>
        <w:rPr>
          <w:rFonts w:hint="eastAsia" w:ascii="黑体" w:hAnsi="黑体" w:eastAsia="黑体"/>
          <w:color w:val="auto"/>
          <w:sz w:val="28"/>
          <w:szCs w:val="32"/>
          <w:lang w:bidi="ar"/>
        </w:rPr>
        <w:t>附件</w:t>
      </w:r>
      <w:r>
        <w:rPr>
          <w:rFonts w:hint="eastAsia" w:ascii="黑体" w:hAnsi="黑体" w:eastAsia="黑体"/>
          <w:color w:val="auto"/>
          <w:sz w:val="28"/>
          <w:szCs w:val="32"/>
          <w:lang w:val="en-US" w:eastAsia="zh-CN" w:bidi="ar"/>
        </w:rPr>
        <w:t>6</w:t>
      </w:r>
      <w:r>
        <w:rPr>
          <w:rFonts w:hint="eastAsia" w:ascii="黑体" w:hAnsi="黑体" w:eastAsia="黑体"/>
          <w:color w:val="auto"/>
          <w:sz w:val="28"/>
          <w:szCs w:val="32"/>
          <w:lang w:bidi="ar"/>
        </w:rPr>
        <w:t xml:space="preserve">                      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4"/>
          <w:lang w:bidi="ar"/>
        </w:rPr>
        <w:t>考核组评价表</w:t>
      </w:r>
    </w:p>
    <w:p>
      <w:pPr>
        <w:widowControl/>
        <w:textAlignment w:val="center"/>
        <w:rPr>
          <w:rFonts w:hint="eastAsia" w:ascii="宋体" w:hAnsi="宋体" w:eastAsia="仿宋" w:cs="仿宋_GB2312"/>
          <w:color w:val="auto"/>
          <w:sz w:val="24"/>
        </w:rPr>
      </w:pPr>
      <w:r>
        <w:rPr>
          <w:rFonts w:hint="eastAsia" w:ascii="宋体" w:hAnsi="宋体" w:eastAsia="仿宋_GB2312" w:cs="仿宋_GB2312"/>
          <w:color w:val="auto"/>
          <w:sz w:val="24"/>
          <w:lang w:bidi="ar"/>
        </w:rPr>
        <w:t>考核对象：</w:t>
      </w:r>
      <w:r>
        <w:rPr>
          <w:rStyle w:val="13"/>
          <w:rFonts w:hint="default" w:ascii="宋体" w:hAnsi="宋体" w:eastAsia="仿宋_GB2312" w:cs="仿宋_GB2312"/>
          <w:color w:val="auto"/>
          <w:sz w:val="24"/>
          <w:lang w:bidi="ar"/>
        </w:rPr>
        <w:t>　　　　　　</w:t>
      </w:r>
    </w:p>
    <w:tbl>
      <w:tblPr>
        <w:tblStyle w:val="7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1"/>
        <w:gridCol w:w="852"/>
        <w:gridCol w:w="2420"/>
        <w:gridCol w:w="2268"/>
        <w:gridCol w:w="2268"/>
        <w:gridCol w:w="2268"/>
        <w:gridCol w:w="15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6" w:hRule="atLeast"/>
          <w:jc w:val="center"/>
        </w:trPr>
        <w:tc>
          <w:tcPr>
            <w:tcW w:w="2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评价要素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综合素质评价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招聘岗位匹配程度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履行岗位职责情况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品德与个性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总</w:t>
            </w:r>
            <w:r>
              <w:rPr>
                <w:rStyle w:val="14"/>
                <w:rFonts w:hint="eastAsia" w:ascii="仿宋" w:hAnsi="仿宋" w:eastAsia="仿宋" w:cs="仿宋"/>
                <w:color w:val="auto"/>
                <w:szCs w:val="28"/>
                <w:lang w:bidi="ar"/>
              </w:rPr>
              <w:t xml:space="preserve"> </w:t>
            </w:r>
            <w:r>
              <w:rPr>
                <w:rStyle w:val="15"/>
                <w:rFonts w:hint="eastAsia" w:ascii="仿宋" w:hAnsi="仿宋" w:eastAsia="仿宋" w:cs="仿宋"/>
                <w:color w:val="auto"/>
                <w:szCs w:val="28"/>
                <w:lang w:bidi="ar"/>
              </w:rPr>
              <w:t>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08" w:hRule="atLeast"/>
          <w:jc w:val="center"/>
        </w:trPr>
        <w:tc>
          <w:tcPr>
            <w:tcW w:w="2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权重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val="en-US" w:eastAsia="zh-CN" w:bidi="ar"/>
              </w:rPr>
              <w:t>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val="en-US" w:eastAsia="zh-CN" w:bidi="ar"/>
              </w:rPr>
              <w:t>25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73" w:hRule="atLeast"/>
          <w:jc w:val="center"/>
        </w:trPr>
        <w:tc>
          <w:tcPr>
            <w:tcW w:w="2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评价要点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textAlignment w:val="top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lang w:bidi="ar"/>
              </w:rPr>
              <w:t>政治素质好，善于分析和处理解决各种复杂问题；组织领导能力强，有大局观念和团队精神；与时俱进，求真务实；廉洁自律好。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textAlignment w:val="top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bidi="ar"/>
              </w:rPr>
              <w:t>能正确评价自己在工作中的长处和短处；头脑敏锐，善于在复杂的工作环境下理清工作思路；在明显压力和不确定、不规范的工作情况下保持工作绩效，有胜任招聘岗位的能力水平，有发展潜力。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textAlignment w:val="top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1"/>
                <w:sz w:val="24"/>
                <w:lang w:bidi="ar"/>
              </w:rPr>
              <w:t>在现工作岗位上认真负责，成绩较突出；</w:t>
            </w:r>
            <w:r>
              <w:rPr>
                <w:rFonts w:hint="eastAsia" w:ascii="仿宋" w:hAnsi="仿宋" w:eastAsia="仿宋" w:cs="仿宋"/>
                <w:color w:val="auto"/>
                <w:spacing w:val="-11"/>
                <w:sz w:val="24"/>
                <w:lang w:val="en-US" w:eastAsia="zh-CN" w:bidi="ar"/>
              </w:rPr>
              <w:t>能积极服从领导工作安排，较好的完成交办的工作；</w:t>
            </w:r>
            <w:r>
              <w:rPr>
                <w:rFonts w:hint="eastAsia" w:ascii="仿宋" w:hAnsi="仿宋" w:eastAsia="仿宋" w:cs="仿宋"/>
                <w:color w:val="auto"/>
                <w:spacing w:val="-11"/>
                <w:sz w:val="24"/>
                <w:lang w:bidi="ar"/>
              </w:rPr>
              <w:t>能取得上级、同级和干部群众的理解支持；履职尽责，开拓进取，表现出色。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textAlignment w:val="top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bidi="ar"/>
              </w:rPr>
              <w:t>为</w:t>
            </w:r>
            <w:r>
              <w:rPr>
                <w:rFonts w:hint="eastAsia" w:ascii="仿宋" w:hAnsi="仿宋" w:eastAsia="仿宋" w:cs="仿宋"/>
                <w:color w:val="auto"/>
                <w:spacing w:val="-18"/>
                <w:sz w:val="24"/>
                <w:lang w:bidi="ar"/>
              </w:rPr>
              <w:t>人正派、坦率、诚实守信，道德品质好；理解他人，善于处理不同意见；主动承受压力，敢于挑担子。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——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7" w:hRule="atLeast"/>
          <w:jc w:val="center"/>
        </w:trPr>
        <w:tc>
          <w:tcPr>
            <w:tcW w:w="1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次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20—25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20—25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20—25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20—25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7" w:hRule="atLeast"/>
          <w:jc w:val="center"/>
        </w:trPr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良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16—19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16—19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16—19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16—19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7" w:hRule="atLeast"/>
          <w:jc w:val="center"/>
        </w:trPr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一般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10—15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10—15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10—15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10—15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7" w:hRule="atLeast"/>
          <w:jc w:val="center"/>
        </w:trPr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差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0—9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0—9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0—9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8"/>
                <w:lang w:bidi="ar"/>
              </w:rPr>
              <w:t>0—9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87" w:hRule="atLeast"/>
          <w:jc w:val="center"/>
        </w:trPr>
        <w:tc>
          <w:tcPr>
            <w:tcW w:w="2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bidi="ar"/>
              </w:rPr>
              <w:t>评　分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</w:tbl>
    <w:p>
      <w:pPr>
        <w:widowControl/>
        <w:spacing w:before="156" w:beforeLines="50"/>
        <w:textAlignment w:val="center"/>
        <w:rPr>
          <w:rFonts w:hint="eastAsia" w:ascii="宋体" w:hAnsi="宋体" w:eastAsia="仿宋_GB2312" w:cs="仿宋_GB2312"/>
          <w:color w:val="auto"/>
          <w:sz w:val="24"/>
          <w:lang w:bidi="ar"/>
        </w:rPr>
      </w:pPr>
      <w:r>
        <w:rPr>
          <w:rFonts w:hint="eastAsia" w:ascii="宋体" w:hAnsi="宋体" w:eastAsia="仿宋_GB2312" w:cs="仿宋_GB2312"/>
          <w:color w:val="auto"/>
          <w:sz w:val="24"/>
          <w:lang w:bidi="ar"/>
        </w:rPr>
        <w:t>注：此表供考核组成员分别独立评分用。</w:t>
      </w:r>
    </w:p>
    <w:p>
      <w:pPr>
        <w:widowControl/>
        <w:textAlignment w:val="center"/>
        <w:rPr>
          <w:rFonts w:hint="eastAsia" w:ascii="仿宋_GB2312" w:hAnsi="仿宋" w:eastAsia="仿宋_GB2312" w:cs="仿宋"/>
          <w:sz w:val="24"/>
          <w:szCs w:val="24"/>
        </w:rPr>
      </w:pPr>
      <w:r>
        <w:rPr>
          <w:rFonts w:hint="eastAsia" w:ascii="宋体" w:hAnsi="宋体" w:eastAsia="仿宋_GB2312" w:cs="仿宋_GB2312"/>
          <w:color w:val="auto"/>
          <w:sz w:val="24"/>
          <w:lang w:bidi="ar"/>
        </w:rPr>
        <w:t>评分人：</w:t>
      </w:r>
      <w:r>
        <w:rPr>
          <w:rStyle w:val="16"/>
          <w:rFonts w:hint="default" w:ascii="宋体" w:hAnsi="宋体" w:eastAsia="仿宋_GB2312" w:cs="仿宋_GB2312"/>
          <w:color w:val="auto"/>
          <w:sz w:val="24"/>
          <w:lang w:bidi="ar"/>
        </w:rPr>
        <w:t>　　　　　　　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53B2F1-67D0-42F4-A408-7EE27BE5110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B071112-8076-465E-B74F-BFCD03AB3CD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D91489C-7AFB-4B65-99D1-9D391844510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EEE40C1-A339-4BB1-B360-3D3A08A7284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270EB9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