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0"/>
          <w:szCs w:val="40"/>
          <w:lang w:val="en-US" w:eastAsia="zh-CN"/>
        </w:rPr>
      </w:pPr>
      <w:r>
        <w:rPr>
          <w:rFonts w:hint="eastAsia" w:ascii="方正小标宋简体" w:hAnsi="方正小标宋简体" w:eastAsia="方正小标宋简体" w:cs="方正小标宋简体"/>
          <w:sz w:val="40"/>
          <w:szCs w:val="40"/>
          <w:lang w:val="en-US" w:eastAsia="zh-CN"/>
        </w:rPr>
        <w:t>通辽市医院</w:t>
      </w:r>
    </w:p>
    <w:p>
      <w:pPr>
        <w:jc w:val="center"/>
        <w:rPr>
          <w:rFonts w:hint="eastAsia" w:ascii="方正小标宋简体" w:hAnsi="方正小标宋简体" w:eastAsia="方正小标宋简体" w:cs="方正小标宋简体"/>
          <w:sz w:val="40"/>
          <w:szCs w:val="40"/>
          <w:lang w:val="en-US" w:eastAsia="zh-CN"/>
        </w:rPr>
      </w:pPr>
      <w:r>
        <w:rPr>
          <w:rFonts w:hint="eastAsia" w:ascii="方正小标宋简体" w:hAnsi="方正小标宋简体" w:eastAsia="方正小标宋简体" w:cs="方正小标宋简体"/>
          <w:sz w:val="40"/>
          <w:szCs w:val="40"/>
          <w:lang w:val="en-US" w:eastAsia="zh-CN"/>
        </w:rPr>
        <w:t>2022年住院医师规范化培训招收简章</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lang w:val="en-US" w:eastAsia="zh-CN"/>
        </w:rPr>
        <w:t>根据《内蒙古自治区卫生健康委员会办公室关于印发2022年全区住院医师规范化培训招收工作的通知》文件要求，我院开始进行本年度住院医师规范化培训学员招收工作。现将相关事宜通知如下：</w:t>
      </w:r>
    </w:p>
    <w:p>
      <w:pPr>
        <w:numPr>
          <w:ilvl w:val="0"/>
          <w:numId w:val="1"/>
        </w:numPr>
        <w:topLinePunct/>
        <w:adjustRightInd w:val="0"/>
        <w:snapToGrid w:val="0"/>
        <w:spacing w:line="570" w:lineRule="exact"/>
        <w:ind w:left="20" w:leftChars="0" w:firstLine="640" w:firstLineChars="0"/>
        <w:rPr>
          <w:rFonts w:hint="eastAsia" w:ascii="黑体" w:hAnsi="黑体" w:eastAsia="黑体" w:cs="黑体"/>
          <w:color w:val="000000"/>
          <w:kern w:val="0"/>
          <w:sz w:val="32"/>
          <w:szCs w:val="32"/>
          <w:lang w:val="en-US" w:eastAsia="zh-CN"/>
        </w:rPr>
      </w:pPr>
      <w:r>
        <w:rPr>
          <w:rFonts w:hint="eastAsia" w:ascii="黑体" w:hAnsi="黑体" w:eastAsia="黑体" w:cs="黑体"/>
          <w:color w:val="000000"/>
          <w:kern w:val="0"/>
          <w:sz w:val="32"/>
          <w:szCs w:val="32"/>
          <w:lang w:val="en-US" w:eastAsia="zh-CN"/>
        </w:rPr>
        <w:t>招收计划</w:t>
      </w:r>
    </w:p>
    <w:p>
      <w:pPr>
        <w:topLinePunct/>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仿宋_GB2312" w:hAnsi="方正小标宋_GBK" w:eastAsia="仿宋_GB2312" w:cs="仿宋_GB2312"/>
          <w:color w:val="000000"/>
          <w:kern w:val="0"/>
          <w:sz w:val="32"/>
          <w:szCs w:val="32"/>
          <w:lang w:val="en-US" w:eastAsia="zh-CN"/>
        </w:rPr>
        <w:t>1.专业：</w:t>
      </w:r>
      <w:r>
        <w:rPr>
          <w:rFonts w:hint="eastAsia" w:ascii="仿宋_GB2312" w:hAnsi="方正小标宋_GBK" w:eastAsia="仿宋_GB2312" w:cs="仿宋_GB2312"/>
          <w:color w:val="000000"/>
          <w:kern w:val="0"/>
          <w:sz w:val="32"/>
          <w:szCs w:val="32"/>
        </w:rPr>
        <w:t>内科</w:t>
      </w:r>
      <w:r>
        <w:rPr>
          <w:rFonts w:hint="eastAsia" w:ascii="仿宋_GB2312" w:hAnsi="仿宋_GB2312" w:eastAsia="仿宋_GB2312" w:cs="仿宋_GB2312"/>
          <w:sz w:val="32"/>
          <w:szCs w:val="32"/>
        </w:rPr>
        <w:t>、外科、全科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儿科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口腔全科。</w:t>
      </w:r>
    </w:p>
    <w:p>
      <w:pPr>
        <w:numPr>
          <w:ilvl w:val="0"/>
          <w:numId w:val="0"/>
        </w:numPr>
        <w:adjustRightInd w:val="0"/>
        <w:snapToGrid w:val="0"/>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计划：</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3"/>
        <w:gridCol w:w="1703"/>
        <w:gridCol w:w="1704"/>
        <w:gridCol w:w="1704"/>
        <w:gridCol w:w="1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5110" w:type="dxa"/>
            <w:gridSpan w:val="3"/>
          </w:tcPr>
          <w:p>
            <w:pPr>
              <w:widowControl w:val="0"/>
              <w:numPr>
                <w:ilvl w:val="0"/>
                <w:numId w:val="0"/>
              </w:numPr>
              <w:adjustRightInd w:val="0"/>
              <w:snapToGrid w:val="0"/>
              <w:spacing w:line="560" w:lineRule="exact"/>
              <w:jc w:val="center"/>
              <w:rPr>
                <w:rFonts w:hint="eastAsia" w:ascii="仿宋_GB2312" w:hAnsi="仿宋_GB2312" w:eastAsia="仿宋_GB2312" w:cs="仿宋_GB2312"/>
                <w:b/>
                <w:bCs/>
                <w:sz w:val="32"/>
                <w:szCs w:val="32"/>
                <w:vertAlign w:val="baseline"/>
                <w:lang w:eastAsia="zh-CN"/>
              </w:rPr>
            </w:pPr>
            <w:r>
              <w:rPr>
                <w:rFonts w:hint="eastAsia" w:ascii="仿宋_GB2312" w:hAnsi="仿宋_GB2312" w:eastAsia="仿宋_GB2312" w:cs="仿宋_GB2312"/>
                <w:b/>
                <w:bCs/>
                <w:sz w:val="32"/>
                <w:szCs w:val="32"/>
                <w:vertAlign w:val="baseline"/>
                <w:lang w:eastAsia="zh-CN"/>
              </w:rPr>
              <w:t>紧缺专业</w:t>
            </w:r>
          </w:p>
        </w:tc>
        <w:tc>
          <w:tcPr>
            <w:tcW w:w="1704" w:type="dxa"/>
            <w:vMerge w:val="restart"/>
            <w:vAlign w:val="center"/>
          </w:tcPr>
          <w:p>
            <w:pPr>
              <w:widowControl w:val="0"/>
              <w:numPr>
                <w:ilvl w:val="0"/>
                <w:numId w:val="0"/>
              </w:numPr>
              <w:adjustRightInd w:val="0"/>
              <w:snapToGrid w:val="0"/>
              <w:spacing w:line="560" w:lineRule="exact"/>
              <w:jc w:val="center"/>
              <w:rPr>
                <w:rFonts w:hint="eastAsia" w:ascii="仿宋_GB2312" w:hAnsi="仿宋_GB2312" w:eastAsia="仿宋_GB2312" w:cs="仿宋_GB2312"/>
                <w:b/>
                <w:bCs/>
                <w:sz w:val="32"/>
                <w:szCs w:val="32"/>
                <w:vertAlign w:val="baseline"/>
                <w:lang w:eastAsia="zh-CN"/>
              </w:rPr>
            </w:pPr>
            <w:r>
              <w:rPr>
                <w:rFonts w:hint="eastAsia" w:ascii="仿宋_GB2312" w:hAnsi="仿宋_GB2312" w:eastAsia="仿宋_GB2312" w:cs="仿宋_GB2312"/>
                <w:b/>
                <w:bCs/>
                <w:sz w:val="32"/>
                <w:szCs w:val="32"/>
                <w:vertAlign w:val="baseline"/>
                <w:lang w:eastAsia="zh-CN"/>
              </w:rPr>
              <w:t>其他</w:t>
            </w:r>
          </w:p>
        </w:tc>
        <w:tc>
          <w:tcPr>
            <w:tcW w:w="1704" w:type="dxa"/>
            <w:vMerge w:val="restart"/>
            <w:vAlign w:val="center"/>
          </w:tcPr>
          <w:p>
            <w:pPr>
              <w:widowControl w:val="0"/>
              <w:numPr>
                <w:ilvl w:val="0"/>
                <w:numId w:val="0"/>
              </w:numPr>
              <w:adjustRightInd w:val="0"/>
              <w:snapToGrid w:val="0"/>
              <w:spacing w:line="560" w:lineRule="exact"/>
              <w:jc w:val="center"/>
              <w:rPr>
                <w:rFonts w:hint="eastAsia" w:ascii="仿宋_GB2312" w:hAnsi="仿宋_GB2312" w:eastAsia="仿宋_GB2312" w:cs="仿宋_GB2312"/>
                <w:b/>
                <w:bCs/>
                <w:sz w:val="32"/>
                <w:szCs w:val="32"/>
                <w:vertAlign w:val="baseline"/>
                <w:lang w:eastAsia="zh-CN"/>
              </w:rPr>
            </w:pPr>
            <w:r>
              <w:rPr>
                <w:rFonts w:hint="eastAsia" w:ascii="仿宋_GB2312" w:hAnsi="仿宋_GB2312" w:eastAsia="仿宋_GB2312" w:cs="仿宋_GB2312"/>
                <w:b/>
                <w:bCs/>
                <w:sz w:val="32"/>
                <w:szCs w:val="32"/>
                <w:vertAlign w:val="baseline"/>
                <w:lang w:eastAsia="zh-CN"/>
              </w:rPr>
              <w:t>总计划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1703" w:type="dxa"/>
            <w:vAlign w:val="center"/>
          </w:tcPr>
          <w:p>
            <w:pPr>
              <w:widowControl/>
              <w:jc w:val="center"/>
              <w:textAlignment w:val="center"/>
              <w:rPr>
                <w:rFonts w:hint="eastAsia" w:ascii="仿宋_GB2312" w:hAnsi="仿宋_GB2312" w:eastAsia="仿宋_GB2312" w:cs="仿宋_GB2312"/>
                <w:b/>
                <w:bCs/>
                <w:color w:val="000000"/>
                <w:sz w:val="32"/>
                <w:szCs w:val="32"/>
                <w:lang w:val="en-US" w:eastAsia="zh-CN" w:bidi="ar-SA"/>
              </w:rPr>
            </w:pPr>
            <w:r>
              <w:rPr>
                <w:rFonts w:hint="eastAsia" w:ascii="仿宋_GB2312" w:hAnsi="仿宋_GB2312" w:eastAsia="仿宋_GB2312" w:cs="仿宋_GB2312"/>
                <w:b/>
                <w:bCs/>
                <w:color w:val="000000"/>
                <w:kern w:val="0"/>
                <w:sz w:val="32"/>
                <w:szCs w:val="32"/>
                <w:lang w:bidi="ar"/>
              </w:rPr>
              <w:t>订单定向</w:t>
            </w:r>
          </w:p>
        </w:tc>
        <w:tc>
          <w:tcPr>
            <w:tcW w:w="1703" w:type="dxa"/>
            <w:vAlign w:val="center"/>
          </w:tcPr>
          <w:p>
            <w:pPr>
              <w:widowControl/>
              <w:jc w:val="center"/>
              <w:textAlignment w:val="center"/>
              <w:rPr>
                <w:rFonts w:hint="eastAsia" w:ascii="仿宋_GB2312" w:hAnsi="仿宋_GB2312" w:eastAsia="仿宋_GB2312" w:cs="仿宋_GB2312"/>
                <w:b/>
                <w:bCs/>
                <w:color w:val="000000"/>
                <w:sz w:val="32"/>
                <w:szCs w:val="32"/>
                <w:lang w:val="en-US" w:eastAsia="zh-CN" w:bidi="ar-SA"/>
              </w:rPr>
            </w:pPr>
            <w:r>
              <w:rPr>
                <w:rFonts w:hint="eastAsia" w:ascii="仿宋_GB2312" w:hAnsi="仿宋_GB2312" w:eastAsia="仿宋_GB2312" w:cs="仿宋_GB2312"/>
                <w:b/>
                <w:bCs/>
                <w:color w:val="000000"/>
                <w:kern w:val="0"/>
                <w:sz w:val="32"/>
                <w:szCs w:val="32"/>
                <w:lang w:bidi="ar"/>
              </w:rPr>
              <w:t>全科</w:t>
            </w:r>
          </w:p>
        </w:tc>
        <w:tc>
          <w:tcPr>
            <w:tcW w:w="1704" w:type="dxa"/>
            <w:vAlign w:val="center"/>
          </w:tcPr>
          <w:p>
            <w:pPr>
              <w:widowControl/>
              <w:jc w:val="center"/>
              <w:textAlignment w:val="center"/>
              <w:rPr>
                <w:rFonts w:hint="eastAsia" w:ascii="仿宋_GB2312" w:hAnsi="仿宋_GB2312" w:eastAsia="仿宋_GB2312" w:cs="仿宋_GB2312"/>
                <w:b/>
                <w:bCs/>
                <w:color w:val="000000"/>
                <w:sz w:val="32"/>
                <w:szCs w:val="32"/>
                <w:lang w:val="en-US" w:eastAsia="zh-CN" w:bidi="ar-SA"/>
              </w:rPr>
            </w:pPr>
            <w:r>
              <w:rPr>
                <w:rFonts w:hint="eastAsia" w:ascii="仿宋_GB2312" w:hAnsi="仿宋_GB2312" w:eastAsia="仿宋_GB2312" w:cs="仿宋_GB2312"/>
                <w:b/>
                <w:bCs/>
                <w:color w:val="000000"/>
                <w:kern w:val="0"/>
                <w:sz w:val="32"/>
                <w:szCs w:val="32"/>
                <w:lang w:bidi="ar"/>
              </w:rPr>
              <w:t>儿科</w:t>
            </w:r>
          </w:p>
        </w:tc>
        <w:tc>
          <w:tcPr>
            <w:tcW w:w="1704" w:type="dxa"/>
            <w:vMerge w:val="continue"/>
          </w:tcPr>
          <w:p>
            <w:pPr>
              <w:widowControl w:val="0"/>
              <w:numPr>
                <w:ilvl w:val="0"/>
                <w:numId w:val="0"/>
              </w:numPr>
              <w:adjustRightInd w:val="0"/>
              <w:snapToGrid w:val="0"/>
              <w:spacing w:line="560" w:lineRule="exact"/>
              <w:jc w:val="center"/>
              <w:rPr>
                <w:rFonts w:hint="eastAsia" w:ascii="仿宋_GB2312" w:hAnsi="仿宋_GB2312" w:eastAsia="仿宋_GB2312" w:cs="仿宋_GB2312"/>
                <w:b/>
                <w:bCs/>
                <w:sz w:val="32"/>
                <w:szCs w:val="32"/>
                <w:vertAlign w:val="baseline"/>
                <w:lang w:eastAsia="zh-CN"/>
              </w:rPr>
            </w:pPr>
          </w:p>
        </w:tc>
        <w:tc>
          <w:tcPr>
            <w:tcW w:w="1704" w:type="dxa"/>
            <w:vMerge w:val="continue"/>
          </w:tcPr>
          <w:p>
            <w:pPr>
              <w:widowControl w:val="0"/>
              <w:numPr>
                <w:ilvl w:val="0"/>
                <w:numId w:val="0"/>
              </w:numPr>
              <w:adjustRightInd w:val="0"/>
              <w:snapToGrid w:val="0"/>
              <w:spacing w:line="560" w:lineRule="exact"/>
              <w:jc w:val="center"/>
              <w:rPr>
                <w:rFonts w:hint="eastAsia" w:ascii="仿宋_GB2312" w:hAnsi="仿宋_GB2312" w:eastAsia="仿宋_GB2312" w:cs="仿宋_GB2312"/>
                <w:b/>
                <w:bCs/>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1703" w:type="dxa"/>
          </w:tcPr>
          <w:p>
            <w:pPr>
              <w:widowControl w:val="0"/>
              <w:numPr>
                <w:ilvl w:val="0"/>
                <w:numId w:val="0"/>
              </w:numPr>
              <w:adjustRightInd w:val="0"/>
              <w:snapToGrid w:val="0"/>
              <w:spacing w:line="560" w:lineRule="exact"/>
              <w:jc w:val="center"/>
              <w:rPr>
                <w:rFonts w:hint="default"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7</w:t>
            </w:r>
          </w:p>
        </w:tc>
        <w:tc>
          <w:tcPr>
            <w:tcW w:w="1703" w:type="dxa"/>
          </w:tcPr>
          <w:p>
            <w:pPr>
              <w:widowControl w:val="0"/>
              <w:numPr>
                <w:ilvl w:val="0"/>
                <w:numId w:val="0"/>
              </w:numPr>
              <w:adjustRightInd w:val="0"/>
              <w:snapToGrid w:val="0"/>
              <w:spacing w:line="560" w:lineRule="exact"/>
              <w:jc w:val="center"/>
              <w:rPr>
                <w:rFonts w:hint="default"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3</w:t>
            </w:r>
          </w:p>
        </w:tc>
        <w:tc>
          <w:tcPr>
            <w:tcW w:w="1704" w:type="dxa"/>
          </w:tcPr>
          <w:p>
            <w:pPr>
              <w:widowControl w:val="0"/>
              <w:numPr>
                <w:ilvl w:val="0"/>
                <w:numId w:val="0"/>
              </w:numPr>
              <w:adjustRightInd w:val="0"/>
              <w:snapToGrid w:val="0"/>
              <w:spacing w:line="560" w:lineRule="exact"/>
              <w:jc w:val="center"/>
              <w:rPr>
                <w:rFonts w:hint="default"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3</w:t>
            </w:r>
          </w:p>
        </w:tc>
        <w:tc>
          <w:tcPr>
            <w:tcW w:w="1704" w:type="dxa"/>
          </w:tcPr>
          <w:p>
            <w:pPr>
              <w:widowControl w:val="0"/>
              <w:numPr>
                <w:ilvl w:val="0"/>
                <w:numId w:val="0"/>
              </w:numPr>
              <w:adjustRightInd w:val="0"/>
              <w:snapToGrid w:val="0"/>
              <w:spacing w:line="560" w:lineRule="exact"/>
              <w:jc w:val="center"/>
              <w:rPr>
                <w:rFonts w:hint="default"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40</w:t>
            </w:r>
          </w:p>
        </w:tc>
        <w:tc>
          <w:tcPr>
            <w:tcW w:w="1704" w:type="dxa"/>
          </w:tcPr>
          <w:p>
            <w:pPr>
              <w:widowControl w:val="0"/>
              <w:numPr>
                <w:ilvl w:val="0"/>
                <w:numId w:val="0"/>
              </w:numPr>
              <w:adjustRightInd w:val="0"/>
              <w:snapToGrid w:val="0"/>
              <w:spacing w:line="560" w:lineRule="exact"/>
              <w:jc w:val="center"/>
              <w:rPr>
                <w:rFonts w:hint="default"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53</w:t>
            </w:r>
          </w:p>
        </w:tc>
      </w:tr>
    </w:tbl>
    <w:p>
      <w:pPr>
        <w:numPr>
          <w:ilvl w:val="0"/>
          <w:numId w:val="0"/>
        </w:numPr>
        <w:topLinePunct/>
        <w:adjustRightInd w:val="0"/>
        <w:snapToGrid w:val="0"/>
        <w:spacing w:line="570" w:lineRule="exact"/>
        <w:ind w:firstLine="640" w:firstLineChars="200"/>
        <w:rPr>
          <w:rFonts w:hint="eastAsia" w:ascii="黑体" w:hAnsi="黑体" w:eastAsia="黑体" w:cs="黑体"/>
          <w:color w:val="000000"/>
          <w:kern w:val="0"/>
          <w:sz w:val="32"/>
          <w:szCs w:val="32"/>
          <w:lang w:val="en-US" w:eastAsia="zh-CN"/>
        </w:rPr>
      </w:pPr>
      <w:r>
        <w:rPr>
          <w:rFonts w:hint="eastAsia" w:ascii="黑体" w:hAnsi="黑体" w:eastAsia="黑体" w:cs="黑体"/>
          <w:color w:val="000000"/>
          <w:kern w:val="0"/>
          <w:sz w:val="32"/>
          <w:szCs w:val="32"/>
          <w:lang w:val="en-US" w:eastAsia="zh-CN"/>
        </w:rPr>
        <w:t>二、招收对象和报名条件</w:t>
      </w:r>
    </w:p>
    <w:p>
      <w:pPr>
        <w:topLinePunct/>
        <w:adjustRightInd w:val="0"/>
        <w:snapToGrid w:val="0"/>
        <w:spacing w:line="57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（一）招收对象。</w:t>
      </w:r>
    </w:p>
    <w:p>
      <w:pPr>
        <w:topLinePunct/>
        <w:adjustRightInd w:val="0"/>
        <w:snapToGrid w:val="0"/>
        <w:spacing w:line="570" w:lineRule="exact"/>
        <w:ind w:firstLine="640" w:firstLineChars="200"/>
        <w:rPr>
          <w:rFonts w:ascii="仿宋_GB2312" w:hAnsi="方正小标宋_GBK" w:eastAsia="仿宋_GB2312" w:cs="仿宋_GB2312"/>
          <w:color w:val="000000"/>
          <w:kern w:val="0"/>
          <w:sz w:val="32"/>
          <w:szCs w:val="32"/>
        </w:rPr>
      </w:pPr>
      <w:r>
        <w:rPr>
          <w:rFonts w:hint="eastAsia" w:ascii="仿宋_GB2312" w:hAnsi="方正小标宋_GBK" w:eastAsia="仿宋_GB2312" w:cs="仿宋_GB2312"/>
          <w:color w:val="000000"/>
          <w:kern w:val="0"/>
          <w:sz w:val="32"/>
          <w:szCs w:val="32"/>
        </w:rPr>
        <w:t>单位委托培养的培训人员（简称单位人）和面向社会招收的培训人员（简称社会人）。</w:t>
      </w:r>
    </w:p>
    <w:p>
      <w:pPr>
        <w:topLinePunct/>
        <w:adjustRightInd w:val="0"/>
        <w:snapToGrid w:val="0"/>
        <w:spacing w:line="57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（二）报名条件。</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eastAsia" w:ascii="仿宋_GB2312" w:hAnsi="方正小标宋_GBK" w:eastAsia="仿宋_GB2312" w:cs="仿宋_GB2312"/>
          <w:color w:val="000000"/>
          <w:kern w:val="0"/>
          <w:sz w:val="32"/>
          <w:szCs w:val="32"/>
        </w:rPr>
        <w:t>1.拟在内蒙古自治区行政区域内从事临床医疗工作的高等院校医学类相应专业（指西医临床类、口腔医学类）的本科及以上学历毕业生，需要接受培训的人员（社会人）,其中社会人要求内蒙古户籍。</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eastAsia" w:ascii="仿宋_GB2312" w:hAnsi="方正小标宋_GBK" w:eastAsia="仿宋_GB2312" w:cs="仿宋_GB2312"/>
          <w:color w:val="000000"/>
          <w:kern w:val="0"/>
          <w:sz w:val="32"/>
          <w:szCs w:val="32"/>
        </w:rPr>
        <w:t>2.已在内蒙古自治区行政区域内从事临床医疗工作的本科及以上学历人员或获得执业医师资格，需要接受培训的人员（单位人）。</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eastAsia" w:ascii="仿宋_GB2312" w:hAnsi="方正小标宋_GBK" w:eastAsia="仿宋_GB2312" w:cs="仿宋_GB2312"/>
          <w:color w:val="000000"/>
          <w:kern w:val="0"/>
          <w:sz w:val="32"/>
          <w:szCs w:val="32"/>
        </w:rPr>
        <w:t>3.在读研究生不在此次招收范围内。</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eastAsia" w:ascii="仿宋_GB2312" w:hAnsi="方正小标宋_GBK" w:eastAsia="仿宋_GB2312" w:cs="仿宋_GB2312"/>
          <w:color w:val="000000"/>
          <w:kern w:val="0"/>
          <w:sz w:val="32"/>
          <w:szCs w:val="32"/>
        </w:rPr>
        <w:t>以上“本科及以上学历”要符合执业医师资格考试报考条件。</w:t>
      </w:r>
    </w:p>
    <w:p>
      <w:pPr>
        <w:pStyle w:val="4"/>
        <w:topLinePunct/>
        <w:adjustRightInd w:val="0"/>
        <w:snapToGrid w:val="0"/>
        <w:spacing w:beforeAutospacing="0" w:afterAutospacing="0" w:line="570" w:lineRule="exact"/>
        <w:ind w:firstLine="602"/>
        <w:rPr>
          <w:rFonts w:ascii="黑体" w:hAnsi="黑体" w:eastAsia="黑体" w:cs="黑体"/>
          <w:kern w:val="2"/>
          <w:sz w:val="32"/>
          <w:szCs w:val="32"/>
        </w:rPr>
      </w:pPr>
      <w:r>
        <w:rPr>
          <w:rFonts w:hint="eastAsia" w:ascii="黑体" w:hAnsi="黑体" w:eastAsia="黑体" w:cs="黑体"/>
          <w:kern w:val="2"/>
          <w:sz w:val="32"/>
          <w:szCs w:val="32"/>
        </w:rPr>
        <w:t>三、</w:t>
      </w:r>
      <w:r>
        <w:rPr>
          <w:rFonts w:hint="eastAsia" w:ascii="黑体" w:hAnsi="黑体" w:eastAsia="黑体" w:cs="黑体"/>
          <w:sz w:val="32"/>
          <w:szCs w:val="32"/>
          <w:lang w:eastAsia="zh-CN"/>
        </w:rPr>
        <w:t>报名与录取方式及程序</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eastAsia" w:ascii="仿宋_GB2312" w:hAnsi="方正小标宋_GBK" w:eastAsia="仿宋_GB2312" w:cs="仿宋_GB2312"/>
          <w:color w:val="000000"/>
          <w:kern w:val="0"/>
          <w:sz w:val="32"/>
          <w:szCs w:val="32"/>
        </w:rPr>
        <w:t>拟参加2022年内蒙古自治区住院医师规范化培训的人员，进行网上报名；我院组织进行现场资格审核、面试考录；考录结束后，由自治区卫生健康委公示、公布录取人员名单。</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lang w:val="en-US" w:eastAsia="zh-CN"/>
        </w:rPr>
        <w:t>（一）报名流程</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lang w:val="en-US" w:eastAsia="zh-CN"/>
        </w:rPr>
      </w:pPr>
      <w:r>
        <w:rPr>
          <w:rFonts w:hint="default" w:ascii="仿宋_GB2312" w:hAnsi="方正小标宋_GBK" w:eastAsia="仿宋_GB2312" w:cs="仿宋_GB2312"/>
          <w:color w:val="000000"/>
          <w:kern w:val="0"/>
          <w:sz w:val="32"/>
          <w:szCs w:val="32"/>
          <w:lang w:val="en-US" w:eastAsia="zh-CN"/>
        </w:rPr>
        <w:t>登陆“内蒙古自治区住院医师规范化培训信息管理系统”（https://nmzyy.wsglw.net/），在“学员注册”栏注册，经注册获取用户名和密码，并使用注册信息在“学员招收”栏登录系统，进入“填报志愿”模块，填写个人基本信息、学习经历、工作经历并填报志愿，填报完成后打印《内蒙古自治区住院医师规范化培训申请表》。</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eastAsia" w:ascii="仿宋_GB2312" w:hAnsi="方正小标宋_GBK" w:eastAsia="仿宋_GB2312" w:cs="仿宋_GB2312"/>
          <w:color w:val="000000"/>
          <w:kern w:val="0"/>
          <w:sz w:val="32"/>
          <w:szCs w:val="32"/>
        </w:rPr>
        <w:t>（二）第一批次招录</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default" w:ascii="仿宋_GB2312" w:hAnsi="方正小标宋_GBK" w:eastAsia="仿宋_GB2312" w:cs="仿宋_GB2312"/>
          <w:color w:val="000000"/>
          <w:kern w:val="0"/>
          <w:sz w:val="32"/>
          <w:szCs w:val="32"/>
        </w:rPr>
        <w:t>1.网上报名时间：2022年7月10日—7月15日（7月15日18:00关网）；</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default" w:ascii="仿宋_GB2312" w:hAnsi="方正小标宋_GBK" w:eastAsia="仿宋_GB2312" w:cs="仿宋_GB2312"/>
          <w:color w:val="000000"/>
          <w:kern w:val="0"/>
          <w:sz w:val="32"/>
          <w:szCs w:val="32"/>
        </w:rPr>
        <w:t>2.网上审核时间。2022年7月11日—7月17日；</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eastAsia" w:ascii="仿宋_GB2312" w:hAnsi="方正小标宋_GBK" w:eastAsia="仿宋_GB2312" w:cs="仿宋_GB2312"/>
          <w:color w:val="000000"/>
          <w:kern w:val="0"/>
          <w:sz w:val="32"/>
          <w:szCs w:val="32"/>
          <w:lang w:val="en-US" w:eastAsia="zh-CN"/>
        </w:rPr>
        <w:t>3.</w:t>
      </w:r>
      <w:r>
        <w:rPr>
          <w:rFonts w:hint="eastAsia" w:ascii="仿宋_GB2312" w:hAnsi="方正小标宋_GBK" w:eastAsia="仿宋_GB2312" w:cs="仿宋_GB2312"/>
          <w:color w:val="000000"/>
          <w:kern w:val="0"/>
          <w:sz w:val="32"/>
          <w:szCs w:val="32"/>
        </w:rPr>
        <w:t>现场材料审核</w:t>
      </w:r>
      <w:r>
        <w:rPr>
          <w:rFonts w:hint="eastAsia" w:ascii="仿宋_GB2312" w:hAnsi="方正小标宋_GBK" w:eastAsia="仿宋_GB2312" w:cs="仿宋_GB2312"/>
          <w:color w:val="000000"/>
          <w:kern w:val="0"/>
          <w:sz w:val="32"/>
          <w:szCs w:val="32"/>
          <w:lang w:eastAsia="zh-CN"/>
        </w:rPr>
        <w:t>时间</w:t>
      </w:r>
      <w:r>
        <w:rPr>
          <w:rFonts w:hint="eastAsia" w:ascii="仿宋_GB2312" w:hAnsi="方正小标宋_GBK" w:eastAsia="仿宋_GB2312" w:cs="仿宋_GB2312"/>
          <w:color w:val="000000"/>
          <w:kern w:val="0"/>
          <w:sz w:val="32"/>
          <w:szCs w:val="32"/>
        </w:rPr>
        <w:t>：</w:t>
      </w:r>
      <w:r>
        <w:rPr>
          <w:rFonts w:hint="eastAsia" w:ascii="仿宋_GB2312" w:hAnsi="方正小标宋_GBK" w:eastAsia="仿宋_GB2312" w:cs="仿宋_GB2312"/>
          <w:color w:val="000000"/>
          <w:kern w:val="0"/>
          <w:sz w:val="32"/>
          <w:szCs w:val="32"/>
          <w:lang w:val="en-US" w:eastAsia="zh-CN"/>
        </w:rPr>
        <w:t>7</w:t>
      </w:r>
      <w:r>
        <w:rPr>
          <w:rFonts w:hint="eastAsia" w:ascii="仿宋_GB2312" w:hAnsi="方正小标宋_GBK" w:eastAsia="仿宋_GB2312" w:cs="仿宋_GB2312"/>
          <w:color w:val="000000"/>
          <w:kern w:val="0"/>
          <w:sz w:val="32"/>
          <w:szCs w:val="32"/>
        </w:rPr>
        <w:t>月</w:t>
      </w:r>
      <w:r>
        <w:rPr>
          <w:rFonts w:hint="eastAsia" w:ascii="仿宋_GB2312" w:hAnsi="方正小标宋_GBK" w:eastAsia="仿宋_GB2312" w:cs="仿宋_GB2312"/>
          <w:color w:val="000000"/>
          <w:kern w:val="0"/>
          <w:sz w:val="32"/>
          <w:szCs w:val="32"/>
          <w:lang w:val="en-US" w:eastAsia="zh-CN"/>
        </w:rPr>
        <w:t>19</w:t>
      </w:r>
      <w:r>
        <w:rPr>
          <w:rFonts w:hint="eastAsia" w:ascii="仿宋_GB2312" w:hAnsi="方正小标宋_GBK" w:eastAsia="仿宋_GB2312" w:cs="仿宋_GB2312"/>
          <w:color w:val="000000"/>
          <w:kern w:val="0"/>
          <w:sz w:val="32"/>
          <w:szCs w:val="32"/>
        </w:rPr>
        <w:t>日</w:t>
      </w:r>
      <w:r>
        <w:rPr>
          <w:rFonts w:hint="eastAsia" w:ascii="仿宋_GB2312" w:hAnsi="方正小标宋_GBK" w:eastAsia="仿宋_GB2312" w:cs="仿宋_GB2312"/>
          <w:color w:val="000000"/>
          <w:kern w:val="0"/>
          <w:sz w:val="32"/>
          <w:szCs w:val="32"/>
          <w:lang w:eastAsia="zh-CN"/>
        </w:rPr>
        <w:t>下</w:t>
      </w:r>
      <w:r>
        <w:rPr>
          <w:rFonts w:hint="eastAsia" w:ascii="仿宋_GB2312" w:hAnsi="方正小标宋_GBK" w:eastAsia="仿宋_GB2312" w:cs="仿宋_GB2312"/>
          <w:color w:val="000000"/>
          <w:kern w:val="0"/>
          <w:sz w:val="32"/>
          <w:szCs w:val="32"/>
        </w:rPr>
        <w:t>午</w:t>
      </w:r>
      <w:r>
        <w:rPr>
          <w:rFonts w:hint="eastAsia" w:ascii="仿宋_GB2312" w:hAnsi="方正小标宋_GBK" w:eastAsia="仿宋_GB2312" w:cs="仿宋_GB2312"/>
          <w:color w:val="000000"/>
          <w:kern w:val="0"/>
          <w:sz w:val="32"/>
          <w:szCs w:val="32"/>
          <w:lang w:val="en-US" w:eastAsia="zh-CN"/>
        </w:rPr>
        <w:t>16</w:t>
      </w:r>
      <w:r>
        <w:rPr>
          <w:rFonts w:hint="eastAsia" w:ascii="仿宋_GB2312" w:hAnsi="方正小标宋_GBK" w:eastAsia="仿宋_GB2312" w:cs="仿宋_GB2312"/>
          <w:color w:val="000000"/>
          <w:kern w:val="0"/>
          <w:sz w:val="32"/>
          <w:szCs w:val="32"/>
        </w:rPr>
        <w:t>：00—</w:t>
      </w:r>
      <w:r>
        <w:rPr>
          <w:rFonts w:hint="eastAsia" w:ascii="仿宋_GB2312" w:hAnsi="方正小标宋_GBK" w:eastAsia="仿宋_GB2312" w:cs="仿宋_GB2312"/>
          <w:color w:val="000000"/>
          <w:kern w:val="0"/>
          <w:sz w:val="32"/>
          <w:szCs w:val="32"/>
          <w:lang w:val="en-US" w:eastAsia="zh-CN"/>
        </w:rPr>
        <w:t>17</w:t>
      </w:r>
      <w:r>
        <w:rPr>
          <w:rFonts w:hint="eastAsia" w:ascii="仿宋_GB2312" w:hAnsi="方正小标宋_GBK" w:eastAsia="仿宋_GB2312" w:cs="仿宋_GB2312"/>
          <w:color w:val="000000"/>
          <w:kern w:val="0"/>
          <w:sz w:val="32"/>
          <w:szCs w:val="32"/>
        </w:rPr>
        <w:t>：00</w:t>
      </w:r>
    </w:p>
    <w:p>
      <w:pPr>
        <w:topLinePunct/>
        <w:adjustRightInd w:val="0"/>
        <w:snapToGrid w:val="0"/>
        <w:spacing w:line="570" w:lineRule="exact"/>
        <w:ind w:firstLine="960" w:firstLineChars="300"/>
        <w:rPr>
          <w:rFonts w:hint="eastAsia" w:ascii="仿宋_GB2312" w:hAnsi="方正小标宋_GBK" w:eastAsia="仿宋_GB2312" w:cs="仿宋_GB2312"/>
          <w:color w:val="000000"/>
          <w:kern w:val="0"/>
          <w:sz w:val="32"/>
          <w:szCs w:val="32"/>
          <w:lang w:eastAsia="zh-CN"/>
        </w:rPr>
      </w:pPr>
      <w:r>
        <w:rPr>
          <w:rFonts w:hint="eastAsia" w:ascii="仿宋_GB2312" w:hAnsi="方正小标宋_GBK" w:eastAsia="仿宋_GB2312" w:cs="仿宋_GB2312"/>
          <w:color w:val="000000"/>
          <w:kern w:val="0"/>
          <w:sz w:val="32"/>
          <w:szCs w:val="32"/>
          <w:lang w:eastAsia="zh-CN"/>
        </w:rPr>
        <w:t>地点：通辽市医院老干部病房楼</w:t>
      </w:r>
      <w:r>
        <w:rPr>
          <w:rFonts w:hint="eastAsia" w:ascii="仿宋_GB2312" w:hAnsi="方正小标宋_GBK" w:eastAsia="仿宋_GB2312" w:cs="仿宋_GB2312"/>
          <w:color w:val="000000"/>
          <w:kern w:val="0"/>
          <w:sz w:val="32"/>
          <w:szCs w:val="32"/>
          <w:lang w:val="en-US" w:eastAsia="zh-CN"/>
        </w:rPr>
        <w:t>1楼会议室</w:t>
      </w:r>
      <w:r>
        <w:rPr>
          <w:rFonts w:hint="eastAsia" w:ascii="仿宋_GB2312" w:hAnsi="方正小标宋_GBK" w:eastAsia="仿宋_GB2312" w:cs="仿宋_GB2312"/>
          <w:color w:val="000000"/>
          <w:kern w:val="0"/>
          <w:sz w:val="32"/>
          <w:szCs w:val="32"/>
          <w:lang w:eastAsia="zh-CN"/>
        </w:rPr>
        <w:t>。</w:t>
      </w:r>
    </w:p>
    <w:p>
      <w:pPr>
        <w:topLinePunct/>
        <w:adjustRightInd w:val="0"/>
        <w:snapToGrid w:val="0"/>
        <w:spacing w:line="570" w:lineRule="exact"/>
        <w:rPr>
          <w:rFonts w:hint="eastAsia"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lang w:val="en-US" w:eastAsia="zh-CN"/>
        </w:rPr>
        <w:t xml:space="preserve">    4.理论考试时间：7月20日上午8:30-11:00</w:t>
      </w:r>
    </w:p>
    <w:p>
      <w:pPr>
        <w:topLinePunct/>
        <w:adjustRightInd w:val="0"/>
        <w:snapToGrid w:val="0"/>
        <w:spacing w:line="570" w:lineRule="exact"/>
        <w:ind w:firstLine="960" w:firstLineChars="300"/>
        <w:rPr>
          <w:rFonts w:hint="eastAsia" w:ascii="仿宋_GB2312" w:hAnsi="方正小标宋_GBK" w:eastAsia="仿宋_GB2312" w:cs="仿宋_GB2312"/>
          <w:color w:val="000000"/>
          <w:kern w:val="0"/>
          <w:sz w:val="32"/>
          <w:szCs w:val="32"/>
          <w:lang w:eastAsia="zh-CN"/>
        </w:rPr>
      </w:pPr>
      <w:r>
        <w:rPr>
          <w:rFonts w:hint="eastAsia" w:ascii="仿宋_GB2312" w:hAnsi="方正小标宋_GBK" w:eastAsia="仿宋_GB2312" w:cs="仿宋_GB2312"/>
          <w:color w:val="000000"/>
          <w:kern w:val="0"/>
          <w:sz w:val="32"/>
          <w:szCs w:val="32"/>
          <w:lang w:eastAsia="zh-CN"/>
        </w:rPr>
        <w:t>地点：通辽市医院老干部病房楼</w:t>
      </w:r>
      <w:r>
        <w:rPr>
          <w:rFonts w:hint="eastAsia" w:ascii="仿宋_GB2312" w:hAnsi="方正小标宋_GBK" w:eastAsia="仿宋_GB2312" w:cs="仿宋_GB2312"/>
          <w:color w:val="000000"/>
          <w:kern w:val="0"/>
          <w:sz w:val="32"/>
          <w:szCs w:val="32"/>
          <w:lang w:val="en-US" w:eastAsia="zh-CN"/>
        </w:rPr>
        <w:t>1楼会议室</w:t>
      </w:r>
      <w:r>
        <w:rPr>
          <w:rFonts w:hint="eastAsia" w:ascii="仿宋_GB2312" w:hAnsi="方正小标宋_GBK" w:eastAsia="仿宋_GB2312" w:cs="仿宋_GB2312"/>
          <w:color w:val="000000"/>
          <w:kern w:val="0"/>
          <w:sz w:val="32"/>
          <w:szCs w:val="32"/>
          <w:lang w:eastAsia="zh-CN"/>
        </w:rPr>
        <w:t>。</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eastAsia" w:ascii="仿宋_GB2312" w:hAnsi="方正小标宋_GBK" w:eastAsia="仿宋_GB2312" w:cs="仿宋_GB2312"/>
          <w:color w:val="000000"/>
          <w:kern w:val="0"/>
          <w:sz w:val="32"/>
          <w:szCs w:val="32"/>
          <w:lang w:val="en-US" w:eastAsia="zh-CN"/>
        </w:rPr>
        <w:t>5.</w:t>
      </w:r>
      <w:r>
        <w:rPr>
          <w:rFonts w:hint="eastAsia" w:ascii="仿宋_GB2312" w:hAnsi="方正小标宋_GBK" w:eastAsia="仿宋_GB2312" w:cs="仿宋_GB2312"/>
          <w:color w:val="000000"/>
          <w:kern w:val="0"/>
          <w:sz w:val="32"/>
          <w:szCs w:val="32"/>
          <w:lang w:eastAsia="zh-CN"/>
        </w:rPr>
        <w:t>技能考试、</w:t>
      </w:r>
      <w:r>
        <w:rPr>
          <w:rFonts w:hint="eastAsia" w:ascii="仿宋_GB2312" w:hAnsi="方正小标宋_GBK" w:eastAsia="仿宋_GB2312" w:cs="仿宋_GB2312"/>
          <w:color w:val="000000"/>
          <w:kern w:val="0"/>
          <w:sz w:val="32"/>
          <w:szCs w:val="32"/>
        </w:rPr>
        <w:t>面试时间：</w:t>
      </w:r>
      <w:r>
        <w:rPr>
          <w:rFonts w:hint="eastAsia" w:ascii="仿宋_GB2312" w:hAnsi="方正小标宋_GBK" w:eastAsia="仿宋_GB2312" w:cs="仿宋_GB2312"/>
          <w:color w:val="000000"/>
          <w:kern w:val="0"/>
          <w:sz w:val="32"/>
          <w:szCs w:val="32"/>
          <w:lang w:val="en-US" w:eastAsia="zh-CN"/>
        </w:rPr>
        <w:t>7月20</w:t>
      </w:r>
      <w:r>
        <w:rPr>
          <w:rFonts w:hint="eastAsia" w:ascii="仿宋_GB2312" w:hAnsi="方正小标宋_GBK" w:eastAsia="仿宋_GB2312" w:cs="仿宋_GB2312"/>
          <w:color w:val="000000"/>
          <w:kern w:val="0"/>
          <w:sz w:val="32"/>
          <w:szCs w:val="32"/>
        </w:rPr>
        <w:t>日</w:t>
      </w:r>
      <w:r>
        <w:rPr>
          <w:rFonts w:hint="eastAsia" w:ascii="仿宋_GB2312" w:hAnsi="方正小标宋_GBK" w:eastAsia="仿宋_GB2312" w:cs="仿宋_GB2312"/>
          <w:color w:val="000000"/>
          <w:kern w:val="0"/>
          <w:sz w:val="32"/>
          <w:szCs w:val="32"/>
          <w:lang w:eastAsia="zh-CN"/>
        </w:rPr>
        <w:t>下</w:t>
      </w:r>
      <w:r>
        <w:rPr>
          <w:rFonts w:hint="eastAsia" w:ascii="仿宋_GB2312" w:hAnsi="方正小标宋_GBK" w:eastAsia="仿宋_GB2312" w:cs="仿宋_GB2312"/>
          <w:color w:val="000000"/>
          <w:kern w:val="0"/>
          <w:sz w:val="32"/>
          <w:szCs w:val="32"/>
        </w:rPr>
        <w:t>午</w:t>
      </w:r>
      <w:r>
        <w:rPr>
          <w:rFonts w:hint="eastAsia" w:ascii="仿宋_GB2312" w:hAnsi="方正小标宋_GBK" w:eastAsia="仿宋_GB2312" w:cs="仿宋_GB2312"/>
          <w:color w:val="000000"/>
          <w:kern w:val="0"/>
          <w:sz w:val="32"/>
          <w:szCs w:val="32"/>
          <w:lang w:val="en-US" w:eastAsia="zh-CN"/>
        </w:rPr>
        <w:t>14</w:t>
      </w:r>
      <w:r>
        <w:rPr>
          <w:rFonts w:hint="eastAsia" w:ascii="仿宋_GB2312" w:hAnsi="方正小标宋_GBK" w:eastAsia="仿宋_GB2312" w:cs="仿宋_GB2312"/>
          <w:color w:val="000000"/>
          <w:kern w:val="0"/>
          <w:sz w:val="32"/>
          <w:szCs w:val="32"/>
        </w:rPr>
        <w:t>:</w:t>
      </w:r>
      <w:r>
        <w:rPr>
          <w:rFonts w:hint="eastAsia" w:ascii="仿宋_GB2312" w:hAnsi="方正小标宋_GBK" w:eastAsia="仿宋_GB2312" w:cs="仿宋_GB2312"/>
          <w:color w:val="000000"/>
          <w:kern w:val="0"/>
          <w:sz w:val="32"/>
          <w:szCs w:val="32"/>
          <w:lang w:val="en-US" w:eastAsia="zh-CN"/>
        </w:rPr>
        <w:t>3</w:t>
      </w:r>
      <w:r>
        <w:rPr>
          <w:rFonts w:hint="eastAsia" w:ascii="仿宋_GB2312" w:hAnsi="方正小标宋_GBK" w:eastAsia="仿宋_GB2312" w:cs="仿宋_GB2312"/>
          <w:color w:val="000000"/>
          <w:kern w:val="0"/>
          <w:sz w:val="32"/>
          <w:szCs w:val="32"/>
        </w:rPr>
        <w:t>0—</w:t>
      </w:r>
      <w:r>
        <w:rPr>
          <w:rFonts w:hint="eastAsia" w:ascii="仿宋_GB2312" w:hAnsi="方正小标宋_GBK" w:eastAsia="仿宋_GB2312" w:cs="仿宋_GB2312"/>
          <w:color w:val="000000"/>
          <w:kern w:val="0"/>
          <w:sz w:val="32"/>
          <w:szCs w:val="32"/>
          <w:lang w:val="en-US" w:eastAsia="zh-CN"/>
        </w:rPr>
        <w:t>18</w:t>
      </w:r>
      <w:r>
        <w:rPr>
          <w:rFonts w:hint="eastAsia" w:ascii="仿宋_GB2312" w:hAnsi="方正小标宋_GBK" w:eastAsia="仿宋_GB2312" w:cs="仿宋_GB2312"/>
          <w:color w:val="000000"/>
          <w:kern w:val="0"/>
          <w:sz w:val="32"/>
          <w:szCs w:val="32"/>
        </w:rPr>
        <w:t xml:space="preserve">:00  </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eastAsia" w:ascii="仿宋_GB2312" w:hAnsi="方正小标宋_GBK" w:eastAsia="仿宋_GB2312" w:cs="仿宋_GB2312"/>
          <w:color w:val="000000"/>
          <w:kern w:val="0"/>
          <w:sz w:val="32"/>
          <w:szCs w:val="32"/>
          <w:lang w:eastAsia="zh-CN"/>
        </w:rPr>
        <w:t>地点：通辽市医院全科医师培训楼</w:t>
      </w:r>
      <w:r>
        <w:rPr>
          <w:rFonts w:hint="eastAsia" w:ascii="仿宋_GB2312" w:hAnsi="方正小标宋_GBK" w:eastAsia="仿宋_GB2312" w:cs="仿宋_GB2312"/>
          <w:color w:val="000000"/>
          <w:kern w:val="0"/>
          <w:sz w:val="32"/>
          <w:szCs w:val="32"/>
          <w:lang w:val="en-US" w:eastAsia="zh-CN"/>
        </w:rPr>
        <w:t>5楼技能培训中心</w:t>
      </w:r>
      <w:r>
        <w:rPr>
          <w:rFonts w:hint="eastAsia" w:ascii="仿宋_GB2312" w:hAnsi="方正小标宋_GBK" w:eastAsia="仿宋_GB2312" w:cs="仿宋_GB2312"/>
          <w:color w:val="000000"/>
          <w:kern w:val="0"/>
          <w:sz w:val="32"/>
          <w:szCs w:val="32"/>
        </w:rPr>
        <w:t>。</w:t>
      </w:r>
    </w:p>
    <w:p>
      <w:pPr>
        <w:topLinePunct/>
        <w:adjustRightInd w:val="0"/>
        <w:snapToGrid w:val="0"/>
        <w:spacing w:line="570" w:lineRule="exact"/>
        <w:ind w:firstLine="640" w:firstLineChars="200"/>
        <w:rPr>
          <w:rFonts w:hint="default" w:ascii="仿宋_GB2312" w:hAnsi="方正小标宋_GBK" w:eastAsia="仿宋_GB2312" w:cs="仿宋_GB2312"/>
          <w:color w:val="000000"/>
          <w:kern w:val="0"/>
          <w:sz w:val="32"/>
          <w:szCs w:val="32"/>
        </w:rPr>
      </w:pPr>
      <w:r>
        <w:rPr>
          <w:rFonts w:hint="eastAsia" w:ascii="仿宋_GB2312" w:hAnsi="方正小标宋_GBK" w:eastAsia="仿宋_GB2312" w:cs="仿宋_GB2312"/>
          <w:i w:val="0"/>
          <w:iCs w:val="0"/>
          <w:color w:val="000000"/>
          <w:kern w:val="0"/>
          <w:sz w:val="32"/>
          <w:szCs w:val="32"/>
          <w:lang w:val="en-US" w:eastAsia="zh-CN"/>
        </w:rPr>
        <w:t>6.</w:t>
      </w:r>
      <w:r>
        <w:rPr>
          <w:rFonts w:hint="default" w:ascii="仿宋_GB2312" w:hAnsi="方正小标宋_GBK" w:eastAsia="仿宋_GB2312" w:cs="仿宋_GB2312"/>
          <w:color w:val="000000"/>
          <w:kern w:val="0"/>
          <w:sz w:val="32"/>
          <w:szCs w:val="32"/>
        </w:rPr>
        <w:t>录取名单公示、公布</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default" w:ascii="仿宋_GB2312" w:hAnsi="方正小标宋_GBK" w:eastAsia="仿宋_GB2312" w:cs="仿宋_GB2312"/>
          <w:i w:val="0"/>
          <w:iCs w:val="0"/>
          <w:color w:val="000000"/>
          <w:kern w:val="0"/>
          <w:sz w:val="32"/>
          <w:szCs w:val="32"/>
        </w:rPr>
        <w:t>我院将拟录取名单上报自治区卫生健康医学教育考试中心汇总，由自治区卫生健康委审核后公布；</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default" w:ascii="仿宋_GB2312" w:hAnsi="方正小标宋_GBK" w:eastAsia="仿宋_GB2312" w:cs="仿宋_GB2312"/>
          <w:color w:val="000000"/>
          <w:kern w:val="0"/>
          <w:sz w:val="32"/>
          <w:szCs w:val="32"/>
        </w:rPr>
        <w:t>公示时间：7月29日—8月2日，公示期为5天；</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default" w:ascii="仿宋_GB2312" w:hAnsi="方正小标宋_GBK" w:eastAsia="仿宋_GB2312" w:cs="仿宋_GB2312"/>
          <w:color w:val="000000"/>
          <w:kern w:val="0"/>
          <w:sz w:val="32"/>
          <w:szCs w:val="32"/>
        </w:rPr>
        <w:t>公布时间：8月3日公布第一批次录取名单。</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default" w:ascii="仿宋_GB2312" w:hAnsi="方正小标宋_GBK" w:eastAsia="仿宋_GB2312" w:cs="仿宋_GB2312"/>
          <w:color w:val="000000"/>
          <w:kern w:val="0"/>
          <w:sz w:val="32"/>
          <w:szCs w:val="32"/>
        </w:rPr>
        <w:t>（三）第二批次补录、调剂</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default" w:ascii="仿宋_GB2312" w:hAnsi="方正小标宋_GBK" w:eastAsia="仿宋_GB2312" w:cs="仿宋_GB2312"/>
          <w:color w:val="000000"/>
          <w:kern w:val="0"/>
          <w:sz w:val="32"/>
          <w:szCs w:val="32"/>
        </w:rPr>
        <w:t>自治区卫生健康委公布第二批次招收基地名单（第一批次未录满基地）及招收计划；第二批次网上报名人员只限第一批次未录取人员，第一批次已录取人员不得进行第二批次报名（因疫情等不可抗力情况除外）；填报1个招收基地和专业，同时，根据个人意愿，选择是否“服从调剂”；各相关招收基地组织进行现场资格审核、面试补录；如第二批次仍有未补录招满的基地，自治区卫生健康医学教育考试中心（自治区住院医师规范化培训管理服务中心）将根据报名情况，对“服从调剂”报名人员进行调剂。最后由自治区卫生健康委审核后公示、公布第二批补录名单。</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default" w:ascii="仿宋_GB2312" w:hAnsi="方正小标宋_GBK" w:eastAsia="仿宋_GB2312" w:cs="仿宋_GB2312"/>
          <w:color w:val="000000"/>
          <w:kern w:val="0"/>
          <w:sz w:val="32"/>
          <w:szCs w:val="32"/>
        </w:rPr>
        <w:t>1.网上报名时间：8月3日—8月8日（8月8日18∶00关网）；</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default" w:ascii="仿宋_GB2312" w:hAnsi="方正小标宋_GBK" w:eastAsia="仿宋_GB2312" w:cs="仿宋_GB2312"/>
          <w:color w:val="000000"/>
          <w:kern w:val="0"/>
          <w:sz w:val="32"/>
          <w:szCs w:val="32"/>
        </w:rPr>
        <w:t>2.基地现场审核、面试补录：8月9日—8月11日（具体时间、地点我院将根据自治区疫情防控要求，另行通知。请及时关注报名网站及微信公众号“</w:t>
      </w:r>
      <w:r>
        <w:rPr>
          <w:rFonts w:hint="eastAsia" w:ascii="仿宋_GB2312" w:hAnsi="方正小标宋_GBK" w:eastAsia="仿宋_GB2312" w:cs="仿宋_GB2312"/>
          <w:color w:val="000000"/>
          <w:kern w:val="0"/>
          <w:sz w:val="32"/>
          <w:szCs w:val="32"/>
          <w:lang w:eastAsia="zh-CN"/>
        </w:rPr>
        <w:t>通辽市医院毕业后医学教育</w:t>
      </w:r>
      <w:r>
        <w:rPr>
          <w:rFonts w:hint="default" w:ascii="仿宋_GB2312" w:hAnsi="方正小标宋_GBK" w:eastAsia="仿宋_GB2312" w:cs="仿宋_GB2312"/>
          <w:color w:val="000000"/>
          <w:kern w:val="0"/>
          <w:sz w:val="32"/>
          <w:szCs w:val="32"/>
        </w:rPr>
        <w:t>”）；</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default" w:ascii="仿宋_GB2312" w:hAnsi="方正小标宋_GBK" w:eastAsia="仿宋_GB2312" w:cs="仿宋_GB2312"/>
          <w:color w:val="000000"/>
          <w:kern w:val="0"/>
          <w:sz w:val="32"/>
          <w:szCs w:val="32"/>
        </w:rPr>
        <w:t>3.录取名单公示</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default" w:ascii="仿宋_GB2312" w:hAnsi="方正小标宋_GBK" w:eastAsia="仿宋_GB2312" w:cs="仿宋_GB2312"/>
          <w:color w:val="000000"/>
          <w:kern w:val="0"/>
          <w:sz w:val="32"/>
          <w:szCs w:val="32"/>
        </w:rPr>
        <w:t>公示时间：8月13日—8月17日，公示期为5天；</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default" w:ascii="仿宋_GB2312" w:hAnsi="方正小标宋_GBK" w:eastAsia="仿宋_GB2312" w:cs="仿宋_GB2312"/>
          <w:color w:val="000000"/>
          <w:kern w:val="0"/>
          <w:sz w:val="32"/>
          <w:szCs w:val="32"/>
        </w:rPr>
        <w:t>公布时间：8月17日公布补录名单。</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default" w:ascii="仿宋_GB2312" w:hAnsi="方正小标宋_GBK" w:eastAsia="仿宋_GB2312" w:cs="仿宋_GB2312"/>
          <w:color w:val="000000"/>
          <w:kern w:val="0"/>
          <w:sz w:val="32"/>
          <w:szCs w:val="32"/>
        </w:rPr>
        <w:t>（四）有关事宜</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default" w:ascii="仿宋_GB2312" w:hAnsi="方正小标宋_GBK" w:eastAsia="仿宋_GB2312" w:cs="仿宋_GB2312"/>
          <w:color w:val="000000"/>
          <w:kern w:val="0"/>
          <w:sz w:val="32"/>
          <w:szCs w:val="32"/>
        </w:rPr>
        <w:t>1.网报期间，由自治区卫生健康医学教育考试中心（自治区住院医师规范化培训管理服务中心）统一初步审核网报信息。</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default" w:ascii="仿宋_GB2312" w:hAnsi="方正小标宋_GBK" w:eastAsia="仿宋_GB2312" w:cs="仿宋_GB2312"/>
          <w:color w:val="000000"/>
          <w:kern w:val="0"/>
          <w:sz w:val="32"/>
          <w:szCs w:val="32"/>
        </w:rPr>
        <w:t>2.社会人可报考全部专业，其中紧缺专业不设招收比例，非紧缺专业社会人招收比例原则上不超过20%。</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default" w:ascii="仿宋_GB2312" w:hAnsi="方正小标宋_GBK" w:eastAsia="仿宋_GB2312" w:cs="仿宋_GB2312"/>
          <w:color w:val="000000"/>
          <w:kern w:val="0"/>
          <w:sz w:val="32"/>
          <w:szCs w:val="32"/>
        </w:rPr>
        <w:t>3.审核材料：</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default" w:ascii="仿宋_GB2312" w:hAnsi="方正小标宋_GBK" w:eastAsia="仿宋_GB2312" w:cs="仿宋_GB2312"/>
          <w:color w:val="000000"/>
          <w:kern w:val="0"/>
          <w:sz w:val="32"/>
          <w:szCs w:val="32"/>
        </w:rPr>
        <w:t>（1）纸质版《内蒙古自治区住院医师规范化培训申请表》原件，需本人亲笔签名，单位人需就业单位签字盖章；</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default" w:ascii="仿宋_GB2312" w:hAnsi="方正小标宋_GBK" w:eastAsia="仿宋_GB2312" w:cs="仿宋_GB2312"/>
          <w:color w:val="000000"/>
          <w:kern w:val="0"/>
          <w:sz w:val="32"/>
          <w:szCs w:val="32"/>
        </w:rPr>
        <w:t>（2）身份证、毕业证、学位证原件及复印件；</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default" w:ascii="仿宋_GB2312" w:hAnsi="方正小标宋_GBK" w:eastAsia="仿宋_GB2312" w:cs="仿宋_GB2312"/>
          <w:color w:val="000000"/>
          <w:kern w:val="0"/>
          <w:sz w:val="32"/>
          <w:szCs w:val="32"/>
        </w:rPr>
        <w:t>（3）学信网学历查询件；</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default" w:ascii="仿宋_GB2312" w:hAnsi="方正小标宋_GBK" w:eastAsia="仿宋_GB2312" w:cs="仿宋_GB2312"/>
          <w:color w:val="000000"/>
          <w:kern w:val="0"/>
          <w:sz w:val="32"/>
          <w:szCs w:val="32"/>
        </w:rPr>
        <w:t>（4）取得国家医师资格的，需提供《医师资格证书》原件和复印件各1份。</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default" w:ascii="仿宋_GB2312" w:hAnsi="方正小标宋_GBK" w:eastAsia="仿宋_GB2312" w:cs="仿宋_GB2312"/>
          <w:color w:val="000000"/>
          <w:kern w:val="0"/>
          <w:sz w:val="32"/>
          <w:szCs w:val="32"/>
        </w:rPr>
        <w:t>通过我院现场审核后，即具备报名住院医师规范化培训的资格。</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default" w:ascii="仿宋_GB2312" w:hAnsi="方正小标宋_GBK" w:eastAsia="仿宋_GB2312" w:cs="仿宋_GB2312"/>
          <w:color w:val="000000"/>
          <w:kern w:val="0"/>
          <w:sz w:val="32"/>
          <w:szCs w:val="32"/>
        </w:rPr>
        <w:t>4.根据现场审核情况安排面试，择优录取。面试内容包括基础知识、专业知识及综合能力测试等，紧缺专业进行单独面试。</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default" w:ascii="仿宋_GB2312" w:hAnsi="方正小标宋_GBK" w:eastAsia="仿宋_GB2312" w:cs="仿宋_GB2312"/>
          <w:color w:val="000000"/>
          <w:kern w:val="0"/>
          <w:sz w:val="32"/>
          <w:szCs w:val="32"/>
        </w:rPr>
        <w:t>5.公示结束后，新招录的培训学员务必于9月1日前报到，开始培训。</w:t>
      </w:r>
    </w:p>
    <w:p>
      <w:pPr>
        <w:pStyle w:val="4"/>
        <w:topLinePunct/>
        <w:adjustRightInd w:val="0"/>
        <w:snapToGrid w:val="0"/>
        <w:spacing w:beforeAutospacing="0" w:afterAutospacing="0" w:line="570" w:lineRule="exact"/>
        <w:ind w:firstLine="602"/>
        <w:rPr>
          <w:rFonts w:hint="eastAsia" w:ascii="黑体" w:hAnsi="黑体" w:eastAsia="黑体" w:cs="黑体"/>
          <w:kern w:val="2"/>
          <w:sz w:val="32"/>
          <w:szCs w:val="32"/>
          <w:lang w:eastAsia="zh-CN"/>
        </w:rPr>
      </w:pPr>
      <w:r>
        <w:rPr>
          <w:rFonts w:hint="eastAsia" w:ascii="黑体" w:hAnsi="黑体" w:eastAsia="黑体" w:cs="黑体"/>
          <w:kern w:val="2"/>
          <w:sz w:val="32"/>
          <w:szCs w:val="32"/>
          <w:lang w:eastAsia="zh-CN"/>
        </w:rPr>
        <w:t>四、相关要求</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default" w:ascii="仿宋_GB2312" w:hAnsi="方正小标宋_GBK" w:eastAsia="仿宋_GB2312" w:cs="仿宋_GB2312"/>
          <w:color w:val="000000"/>
          <w:kern w:val="0"/>
          <w:sz w:val="32"/>
          <w:szCs w:val="32"/>
        </w:rPr>
        <w:t>（一）所有学员严格按通知时间进行资格复审及考核工作，遵守考核纪律，按时进入考场，关闭通讯设备。对于违反考核纪律的人员，将视情节轻重取消考核资格。</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default" w:ascii="仿宋_GB2312" w:hAnsi="方正小标宋_GBK" w:eastAsia="仿宋_GB2312" w:cs="仿宋_GB2312"/>
          <w:color w:val="000000"/>
          <w:kern w:val="0"/>
          <w:sz w:val="32"/>
          <w:szCs w:val="32"/>
        </w:rPr>
        <w:t>（二）未在规定时间内参加资格审核的学员，将取消其考核资格。</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default" w:ascii="仿宋_GB2312" w:hAnsi="方正小标宋_GBK" w:eastAsia="仿宋_GB2312" w:cs="仿宋_GB2312"/>
          <w:color w:val="000000"/>
          <w:kern w:val="0"/>
          <w:sz w:val="32"/>
          <w:szCs w:val="32"/>
        </w:rPr>
        <w:t>（三）对弄虚作假的培训申请人，取消本次报名、录取资格；情节严重的，以及录取后无故不报到和报到后自行退出者，原则上前期培训时间不予认可，3年内不得报名参加住院医师规范化培训。</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rPr>
      </w:pPr>
      <w:r>
        <w:rPr>
          <w:rFonts w:hint="default" w:ascii="仿宋_GB2312" w:hAnsi="方正小标宋_GBK" w:eastAsia="仿宋_GB2312" w:cs="仿宋_GB2312"/>
          <w:color w:val="000000"/>
          <w:kern w:val="0"/>
          <w:sz w:val="32"/>
          <w:szCs w:val="32"/>
        </w:rPr>
        <w:t>（四）所有考试工作人员及考生需要提供现场审核及考试48小时内核酸检测阴性证明，考生还需出示健康码（请提前申报）、健康承诺书（在报名网站下载）。14天内有新冠肺炎中高风险旅居史、与新冠肺炎患者有密切接触史或健康码呈黄色或红色的的考生应提前报告相关情况，不得随意进入我院院区。</w:t>
      </w:r>
    </w:p>
    <w:p>
      <w:pPr>
        <w:topLinePunct/>
        <w:adjustRightInd w:val="0"/>
        <w:snapToGrid w:val="0"/>
        <w:spacing w:line="570" w:lineRule="exact"/>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五、录取原则</w:t>
      </w:r>
    </w:p>
    <w:p>
      <w:pPr>
        <w:numPr>
          <w:ilvl w:val="0"/>
          <w:numId w:val="0"/>
        </w:numPr>
        <w:topLinePunct/>
        <w:adjustRightInd w:val="0"/>
        <w:snapToGrid w:val="0"/>
        <w:spacing w:line="570" w:lineRule="exact"/>
        <w:ind w:firstLine="640"/>
        <w:rPr>
          <w:rFonts w:hint="eastAsia"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lang w:val="en-US" w:eastAsia="zh-CN"/>
        </w:rPr>
        <w:t>1.向基层倾斜。在考试考核过程中，向基层医疗机构选派人员倾斜，同等条件下优先录取旗县级及旗县级以下基层医疗卫生机构选派人员。</w:t>
      </w:r>
    </w:p>
    <w:p>
      <w:pPr>
        <w:numPr>
          <w:ilvl w:val="0"/>
          <w:numId w:val="0"/>
        </w:numPr>
        <w:topLinePunct/>
        <w:adjustRightInd w:val="0"/>
        <w:snapToGrid w:val="0"/>
        <w:spacing w:line="570" w:lineRule="exact"/>
        <w:ind w:firstLine="640"/>
        <w:rPr>
          <w:rFonts w:hint="eastAsia"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lang w:val="en-US" w:eastAsia="zh-CN"/>
        </w:rPr>
        <w:t>2.向乡村振兴地区倾斜。安排一定培训计划名额用于招收乡村振兴地区、边境地区的医疗机构培训对象，同等条件下要优先录取。</w:t>
      </w:r>
    </w:p>
    <w:p>
      <w:pPr>
        <w:numPr>
          <w:ilvl w:val="0"/>
          <w:numId w:val="0"/>
        </w:numPr>
        <w:topLinePunct/>
        <w:adjustRightInd w:val="0"/>
        <w:snapToGrid w:val="0"/>
        <w:spacing w:line="570" w:lineRule="exact"/>
        <w:ind w:firstLine="640"/>
        <w:rPr>
          <w:rFonts w:hint="eastAsia"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lang w:val="en-US" w:eastAsia="zh-CN"/>
        </w:rPr>
        <w:t>3.向紧缺专业倾斜。全科、儿科。</w:t>
      </w:r>
    </w:p>
    <w:p>
      <w:pPr>
        <w:numPr>
          <w:ilvl w:val="0"/>
          <w:numId w:val="0"/>
        </w:num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lang w:val="en-US" w:eastAsia="zh-CN"/>
        </w:rPr>
      </w:pPr>
      <w:r>
        <w:rPr>
          <w:rFonts w:hint="eastAsia" w:ascii="黑体" w:hAnsi="黑体" w:eastAsia="黑体" w:cs="黑体"/>
          <w:color w:val="000000"/>
          <w:kern w:val="0"/>
          <w:sz w:val="32"/>
          <w:szCs w:val="32"/>
          <w:lang w:val="en-US" w:eastAsia="zh-CN"/>
        </w:rPr>
        <w:t>六、待遇保障</w:t>
      </w:r>
      <w:r>
        <w:rPr>
          <w:rFonts w:hint="eastAsia" w:ascii="黑体" w:hAnsi="黑体" w:eastAsia="黑体" w:cs="黑体"/>
          <w:color w:val="000000"/>
          <w:kern w:val="0"/>
          <w:sz w:val="32"/>
          <w:szCs w:val="32"/>
          <w:lang w:val="en-US" w:eastAsia="zh-CN"/>
        </w:rPr>
        <w:br w:type="textWrapping"/>
      </w:r>
      <w:r>
        <w:rPr>
          <w:rFonts w:hint="eastAsia" w:ascii="仿宋_GB2312" w:hAnsi="方正小标宋_GBK" w:eastAsia="仿宋_GB2312" w:cs="仿宋_GB2312"/>
          <w:color w:val="000000"/>
          <w:kern w:val="0"/>
          <w:sz w:val="32"/>
          <w:szCs w:val="32"/>
          <w:lang w:val="en-US" w:eastAsia="zh-CN"/>
        </w:rPr>
        <w:t> </w:t>
      </w:r>
      <w:r>
        <w:rPr>
          <w:rFonts w:hint="eastAsia" w:ascii="仿宋_GB2312" w:hAnsi="方正小标宋_GBK" w:eastAsia="仿宋_GB2312" w:cs="仿宋_GB2312"/>
          <w:b/>
          <w:bCs/>
          <w:color w:val="000000"/>
          <w:kern w:val="0"/>
          <w:sz w:val="32"/>
          <w:szCs w:val="32"/>
          <w:lang w:val="en-US" w:eastAsia="zh-CN"/>
        </w:rPr>
        <w:t xml:space="preserve">  （一）基本待遇</w:t>
      </w:r>
    </w:p>
    <w:tbl>
      <w:tblPr>
        <w:tblStyle w:val="6"/>
        <w:tblW w:w="88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3"/>
        <w:gridCol w:w="3485"/>
        <w:gridCol w:w="3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1723" w:type="dxa"/>
            <w:vAlign w:val="center"/>
          </w:tcPr>
          <w:p>
            <w:pPr>
              <w:keepNext w:val="0"/>
              <w:keepLines w:val="0"/>
              <w:pageBreakBefore w:val="0"/>
              <w:widowControl/>
              <w:numPr>
                <w:ilvl w:val="0"/>
                <w:numId w:val="0"/>
              </w:numPr>
              <w:kinsoku/>
              <w:wordWrap/>
              <w:overflowPunct/>
              <w:topLinePunct/>
              <w:autoSpaceDE/>
              <w:autoSpaceDN/>
              <w:bidi w:val="0"/>
              <w:adjustRightInd w:val="0"/>
              <w:snapToGrid w:val="0"/>
              <w:spacing w:line="240" w:lineRule="auto"/>
              <w:jc w:val="center"/>
              <w:textAlignment w:val="auto"/>
              <w:rPr>
                <w:rFonts w:hint="eastAsia" w:ascii="仿宋_GB2312" w:hAnsi="方正小标宋_GBK" w:eastAsia="仿宋_GB2312" w:cs="仿宋_GB2312"/>
                <w:color w:val="000000"/>
                <w:kern w:val="0"/>
                <w:sz w:val="32"/>
                <w:szCs w:val="32"/>
                <w:vertAlign w:val="baseline"/>
                <w:lang w:val="en-US" w:eastAsia="zh-CN"/>
              </w:rPr>
            </w:pPr>
            <w:r>
              <w:rPr>
                <w:rFonts w:hint="eastAsia" w:ascii="仿宋_GB2312" w:hAnsi="方正小标宋_GBK" w:eastAsia="仿宋_GB2312" w:cs="仿宋_GB2312"/>
                <w:color w:val="000000"/>
                <w:kern w:val="0"/>
                <w:sz w:val="32"/>
                <w:szCs w:val="32"/>
                <w:vertAlign w:val="baseline"/>
                <w:lang w:val="en-US" w:eastAsia="zh-CN"/>
              </w:rPr>
              <w:t>人员类型</w:t>
            </w:r>
          </w:p>
        </w:tc>
        <w:tc>
          <w:tcPr>
            <w:tcW w:w="3485" w:type="dxa"/>
            <w:vAlign w:val="center"/>
          </w:tcPr>
          <w:p>
            <w:pPr>
              <w:keepNext w:val="0"/>
              <w:keepLines w:val="0"/>
              <w:pageBreakBefore w:val="0"/>
              <w:widowControl/>
              <w:numPr>
                <w:ilvl w:val="0"/>
                <w:numId w:val="0"/>
              </w:numPr>
              <w:kinsoku/>
              <w:wordWrap/>
              <w:overflowPunct/>
              <w:topLinePunct/>
              <w:autoSpaceDE/>
              <w:autoSpaceDN/>
              <w:bidi w:val="0"/>
              <w:adjustRightInd w:val="0"/>
              <w:snapToGrid w:val="0"/>
              <w:spacing w:line="240" w:lineRule="auto"/>
              <w:jc w:val="center"/>
              <w:textAlignment w:val="auto"/>
              <w:rPr>
                <w:rFonts w:hint="eastAsia" w:ascii="仿宋_GB2312" w:hAnsi="方正小标宋_GBK" w:eastAsia="仿宋_GB2312" w:cs="仿宋_GB2312"/>
                <w:color w:val="000000"/>
                <w:kern w:val="0"/>
                <w:sz w:val="32"/>
                <w:szCs w:val="32"/>
                <w:vertAlign w:val="baseline"/>
                <w:lang w:val="en-US" w:eastAsia="zh-CN"/>
              </w:rPr>
            </w:pPr>
            <w:r>
              <w:rPr>
                <w:rFonts w:hint="eastAsia" w:ascii="仿宋_GB2312" w:hAnsi="方正小标宋_GBK" w:eastAsia="仿宋_GB2312" w:cs="仿宋_GB2312"/>
                <w:color w:val="000000"/>
                <w:kern w:val="0"/>
                <w:sz w:val="32"/>
                <w:szCs w:val="32"/>
                <w:vertAlign w:val="baseline"/>
                <w:lang w:val="en-US" w:eastAsia="zh-CN"/>
              </w:rPr>
              <w:t>单位人</w:t>
            </w:r>
          </w:p>
        </w:tc>
        <w:tc>
          <w:tcPr>
            <w:tcW w:w="3611" w:type="dxa"/>
            <w:vAlign w:val="center"/>
          </w:tcPr>
          <w:p>
            <w:pPr>
              <w:keepNext w:val="0"/>
              <w:keepLines w:val="0"/>
              <w:pageBreakBefore w:val="0"/>
              <w:widowControl/>
              <w:numPr>
                <w:ilvl w:val="0"/>
                <w:numId w:val="0"/>
              </w:numPr>
              <w:kinsoku/>
              <w:wordWrap/>
              <w:overflowPunct/>
              <w:topLinePunct/>
              <w:autoSpaceDE/>
              <w:autoSpaceDN/>
              <w:bidi w:val="0"/>
              <w:adjustRightInd w:val="0"/>
              <w:snapToGrid w:val="0"/>
              <w:spacing w:line="240" w:lineRule="auto"/>
              <w:jc w:val="center"/>
              <w:textAlignment w:val="auto"/>
              <w:rPr>
                <w:rFonts w:hint="eastAsia" w:ascii="仿宋_GB2312" w:hAnsi="方正小标宋_GBK" w:eastAsia="仿宋_GB2312" w:cs="仿宋_GB2312"/>
                <w:color w:val="000000"/>
                <w:kern w:val="0"/>
                <w:sz w:val="32"/>
                <w:szCs w:val="32"/>
                <w:vertAlign w:val="baseline"/>
                <w:lang w:val="en-US" w:eastAsia="zh-CN"/>
              </w:rPr>
            </w:pPr>
            <w:r>
              <w:rPr>
                <w:rFonts w:hint="eastAsia" w:ascii="仿宋_GB2312" w:hAnsi="方正小标宋_GBK" w:eastAsia="仿宋_GB2312" w:cs="仿宋_GB2312"/>
                <w:color w:val="000000"/>
                <w:kern w:val="0"/>
                <w:sz w:val="32"/>
                <w:szCs w:val="32"/>
                <w:vertAlign w:val="baseline"/>
                <w:lang w:val="en-US" w:eastAsia="zh-CN"/>
              </w:rPr>
              <w:t>社会人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1" w:hRule="atLeast"/>
          <w:jc w:val="center"/>
        </w:trPr>
        <w:tc>
          <w:tcPr>
            <w:tcW w:w="1723" w:type="dxa"/>
            <w:vAlign w:val="center"/>
          </w:tcPr>
          <w:p>
            <w:pPr>
              <w:keepNext w:val="0"/>
              <w:keepLines w:val="0"/>
              <w:pageBreakBefore w:val="0"/>
              <w:widowControl/>
              <w:numPr>
                <w:ilvl w:val="0"/>
                <w:numId w:val="0"/>
              </w:numPr>
              <w:kinsoku/>
              <w:wordWrap/>
              <w:overflowPunct/>
              <w:topLinePunct/>
              <w:autoSpaceDE/>
              <w:autoSpaceDN/>
              <w:bidi w:val="0"/>
              <w:adjustRightInd w:val="0"/>
              <w:snapToGrid w:val="0"/>
              <w:spacing w:line="240" w:lineRule="auto"/>
              <w:jc w:val="center"/>
              <w:textAlignment w:val="auto"/>
              <w:rPr>
                <w:rFonts w:hint="eastAsia" w:ascii="仿宋_GB2312" w:hAnsi="方正小标宋_GBK" w:eastAsia="仿宋_GB2312" w:cs="仿宋_GB2312"/>
                <w:color w:val="000000"/>
                <w:kern w:val="0"/>
                <w:sz w:val="32"/>
                <w:szCs w:val="32"/>
                <w:vertAlign w:val="baseline"/>
                <w:lang w:val="en-US" w:eastAsia="zh-CN"/>
              </w:rPr>
            </w:pPr>
            <w:r>
              <w:rPr>
                <w:rFonts w:hint="eastAsia" w:ascii="仿宋_GB2312" w:hAnsi="方正小标宋_GBK" w:eastAsia="仿宋_GB2312" w:cs="仿宋_GB2312"/>
                <w:color w:val="000000"/>
                <w:kern w:val="0"/>
                <w:sz w:val="32"/>
                <w:szCs w:val="32"/>
                <w:vertAlign w:val="baseline"/>
                <w:lang w:val="en-US" w:eastAsia="zh-CN"/>
              </w:rPr>
              <w:t>生活补助</w:t>
            </w:r>
          </w:p>
        </w:tc>
        <w:tc>
          <w:tcPr>
            <w:tcW w:w="7096" w:type="dxa"/>
            <w:gridSpan w:val="2"/>
            <w:vAlign w:val="center"/>
          </w:tcPr>
          <w:p>
            <w:pPr>
              <w:keepNext w:val="0"/>
              <w:keepLines w:val="0"/>
              <w:pageBreakBefore w:val="0"/>
              <w:widowControl/>
              <w:numPr>
                <w:ilvl w:val="0"/>
                <w:numId w:val="0"/>
              </w:numPr>
              <w:kinsoku/>
              <w:wordWrap/>
              <w:overflowPunct/>
              <w:topLinePunct/>
              <w:autoSpaceDE/>
              <w:autoSpaceDN/>
              <w:bidi w:val="0"/>
              <w:adjustRightInd w:val="0"/>
              <w:snapToGrid w:val="0"/>
              <w:spacing w:line="240" w:lineRule="auto"/>
              <w:jc w:val="both"/>
              <w:textAlignment w:val="auto"/>
              <w:rPr>
                <w:rFonts w:hint="eastAsia"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lang w:val="en-US" w:eastAsia="zh-CN"/>
              </w:rPr>
              <w:t>1.生活补助第一年 2300元/月，第二年 2500元/月，第三年 2700元/月。</w:t>
            </w:r>
          </w:p>
          <w:p>
            <w:pPr>
              <w:keepNext w:val="0"/>
              <w:keepLines w:val="0"/>
              <w:pageBreakBefore w:val="0"/>
              <w:widowControl/>
              <w:numPr>
                <w:ilvl w:val="0"/>
                <w:numId w:val="0"/>
              </w:numPr>
              <w:kinsoku/>
              <w:wordWrap/>
              <w:overflowPunct/>
              <w:topLinePunct/>
              <w:autoSpaceDE/>
              <w:autoSpaceDN/>
              <w:bidi w:val="0"/>
              <w:adjustRightInd w:val="0"/>
              <w:snapToGrid w:val="0"/>
              <w:spacing w:line="240" w:lineRule="auto"/>
              <w:jc w:val="both"/>
              <w:textAlignment w:val="auto"/>
              <w:rPr>
                <w:rFonts w:hint="eastAsia"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lang w:val="en-US" w:eastAsia="zh-CN"/>
              </w:rPr>
              <w:t>2.紧缺专业学员100元</w:t>
            </w:r>
            <w:bookmarkStart w:id="0" w:name="_GoBack"/>
            <w:bookmarkEnd w:id="0"/>
            <w:r>
              <w:rPr>
                <w:rFonts w:hint="eastAsia" w:ascii="仿宋_GB2312" w:hAnsi="方正小标宋_GBK" w:eastAsia="仿宋_GB2312" w:cs="仿宋_GB2312"/>
                <w:color w:val="000000"/>
                <w:kern w:val="0"/>
                <w:sz w:val="32"/>
                <w:szCs w:val="32"/>
                <w:lang w:val="en-US" w:eastAsia="zh-CN"/>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jc w:val="center"/>
        </w:trPr>
        <w:tc>
          <w:tcPr>
            <w:tcW w:w="1723" w:type="dxa"/>
            <w:vAlign w:val="center"/>
          </w:tcPr>
          <w:p>
            <w:pPr>
              <w:keepNext w:val="0"/>
              <w:keepLines w:val="0"/>
              <w:pageBreakBefore w:val="0"/>
              <w:widowControl/>
              <w:numPr>
                <w:ilvl w:val="0"/>
                <w:numId w:val="0"/>
              </w:numPr>
              <w:kinsoku/>
              <w:wordWrap/>
              <w:overflowPunct/>
              <w:topLinePunct/>
              <w:autoSpaceDE/>
              <w:autoSpaceDN/>
              <w:bidi w:val="0"/>
              <w:adjustRightInd w:val="0"/>
              <w:snapToGrid w:val="0"/>
              <w:spacing w:line="240" w:lineRule="auto"/>
              <w:jc w:val="center"/>
              <w:textAlignment w:val="auto"/>
              <w:rPr>
                <w:rFonts w:hint="eastAsia" w:ascii="仿宋_GB2312" w:hAnsi="方正小标宋_GBK" w:eastAsia="仿宋_GB2312" w:cs="仿宋_GB2312"/>
                <w:color w:val="000000"/>
                <w:kern w:val="0"/>
                <w:sz w:val="32"/>
                <w:szCs w:val="32"/>
                <w:vertAlign w:val="baseline"/>
                <w:lang w:val="en-US" w:eastAsia="zh-CN"/>
              </w:rPr>
            </w:pPr>
            <w:r>
              <w:rPr>
                <w:rFonts w:hint="eastAsia" w:ascii="仿宋_GB2312" w:hAnsi="方正小标宋_GBK" w:eastAsia="仿宋_GB2312" w:cs="仿宋_GB2312"/>
                <w:color w:val="000000"/>
                <w:kern w:val="0"/>
                <w:sz w:val="32"/>
                <w:szCs w:val="32"/>
                <w:vertAlign w:val="baseline"/>
                <w:lang w:val="en-US" w:eastAsia="zh-CN"/>
              </w:rPr>
              <w:t>基本工资</w:t>
            </w:r>
          </w:p>
        </w:tc>
        <w:tc>
          <w:tcPr>
            <w:tcW w:w="3485" w:type="dxa"/>
            <w:vAlign w:val="center"/>
          </w:tcPr>
          <w:p>
            <w:pPr>
              <w:keepNext w:val="0"/>
              <w:keepLines w:val="0"/>
              <w:pageBreakBefore w:val="0"/>
              <w:widowControl/>
              <w:numPr>
                <w:ilvl w:val="0"/>
                <w:numId w:val="0"/>
              </w:numPr>
              <w:kinsoku/>
              <w:wordWrap/>
              <w:overflowPunct/>
              <w:topLinePunct/>
              <w:autoSpaceDE/>
              <w:autoSpaceDN/>
              <w:bidi w:val="0"/>
              <w:adjustRightInd w:val="0"/>
              <w:snapToGrid w:val="0"/>
              <w:spacing w:line="240" w:lineRule="auto"/>
              <w:jc w:val="center"/>
              <w:textAlignment w:val="auto"/>
              <w:rPr>
                <w:rFonts w:hint="eastAsia" w:ascii="仿宋_GB2312" w:hAnsi="方正小标宋_GBK" w:eastAsia="仿宋_GB2312" w:cs="仿宋_GB2312"/>
                <w:color w:val="000000"/>
                <w:kern w:val="0"/>
                <w:sz w:val="32"/>
                <w:szCs w:val="32"/>
                <w:vertAlign w:val="baseline"/>
                <w:lang w:val="en-US" w:eastAsia="zh-CN"/>
              </w:rPr>
            </w:pPr>
            <w:r>
              <w:rPr>
                <w:rFonts w:hint="eastAsia" w:ascii="仿宋_GB2312" w:hAnsi="方正小标宋_GBK" w:eastAsia="仿宋_GB2312" w:cs="仿宋_GB2312"/>
                <w:color w:val="000000"/>
                <w:kern w:val="0"/>
                <w:sz w:val="32"/>
                <w:szCs w:val="32"/>
                <w:vertAlign w:val="baseline"/>
                <w:lang w:val="en-US" w:eastAsia="zh-CN"/>
              </w:rPr>
              <w:t>派出单位发放</w:t>
            </w:r>
          </w:p>
        </w:tc>
        <w:tc>
          <w:tcPr>
            <w:tcW w:w="3611" w:type="dxa"/>
            <w:vAlign w:val="center"/>
          </w:tcPr>
          <w:p>
            <w:pPr>
              <w:keepNext w:val="0"/>
              <w:keepLines w:val="0"/>
              <w:pageBreakBefore w:val="0"/>
              <w:widowControl/>
              <w:numPr>
                <w:ilvl w:val="0"/>
                <w:numId w:val="0"/>
              </w:numPr>
              <w:kinsoku/>
              <w:wordWrap/>
              <w:overflowPunct/>
              <w:topLinePunct/>
              <w:autoSpaceDE/>
              <w:autoSpaceDN/>
              <w:bidi w:val="0"/>
              <w:adjustRightInd w:val="0"/>
              <w:snapToGrid w:val="0"/>
              <w:spacing w:line="240" w:lineRule="auto"/>
              <w:jc w:val="center"/>
              <w:textAlignment w:val="auto"/>
              <w:rPr>
                <w:rFonts w:hint="default" w:ascii="仿宋_GB2312" w:hAnsi="方正小标宋_GBK" w:eastAsia="仿宋_GB2312" w:cs="仿宋_GB2312"/>
                <w:color w:val="000000"/>
                <w:kern w:val="0"/>
                <w:sz w:val="32"/>
                <w:szCs w:val="32"/>
                <w:vertAlign w:val="baseline"/>
                <w:lang w:val="en-US" w:eastAsia="zh-CN"/>
              </w:rPr>
            </w:pPr>
            <w:r>
              <w:rPr>
                <w:rFonts w:hint="eastAsia" w:ascii="仿宋_GB2312" w:hAnsi="方正小标宋_GBK" w:eastAsia="仿宋_GB2312" w:cs="仿宋_GB2312"/>
                <w:color w:val="000000"/>
                <w:kern w:val="0"/>
                <w:sz w:val="32"/>
                <w:szCs w:val="32"/>
                <w:lang w:val="en-US" w:eastAsia="zh-CN"/>
              </w:rPr>
              <w:t>与医院同级别医师相同水平的基本工资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jc w:val="center"/>
        </w:trPr>
        <w:tc>
          <w:tcPr>
            <w:tcW w:w="1723" w:type="dxa"/>
            <w:vAlign w:val="center"/>
          </w:tcPr>
          <w:p>
            <w:pPr>
              <w:keepNext w:val="0"/>
              <w:keepLines w:val="0"/>
              <w:pageBreakBefore w:val="0"/>
              <w:widowControl/>
              <w:numPr>
                <w:ilvl w:val="0"/>
                <w:numId w:val="0"/>
              </w:numPr>
              <w:kinsoku/>
              <w:wordWrap/>
              <w:overflowPunct/>
              <w:topLinePunct/>
              <w:autoSpaceDE/>
              <w:autoSpaceDN/>
              <w:bidi w:val="0"/>
              <w:adjustRightInd w:val="0"/>
              <w:snapToGrid w:val="0"/>
              <w:spacing w:line="240" w:lineRule="auto"/>
              <w:jc w:val="center"/>
              <w:textAlignment w:val="auto"/>
              <w:rPr>
                <w:rFonts w:hint="eastAsia" w:ascii="仿宋_GB2312" w:hAnsi="方正小标宋_GBK" w:eastAsia="仿宋_GB2312" w:cs="仿宋_GB2312"/>
                <w:color w:val="000000"/>
                <w:kern w:val="0"/>
                <w:sz w:val="32"/>
                <w:szCs w:val="32"/>
                <w:vertAlign w:val="baseline"/>
                <w:lang w:val="en-US" w:eastAsia="zh-CN"/>
              </w:rPr>
            </w:pPr>
            <w:r>
              <w:rPr>
                <w:rFonts w:hint="eastAsia" w:ascii="仿宋_GB2312" w:hAnsi="方正小标宋_GBK" w:eastAsia="仿宋_GB2312" w:cs="仿宋_GB2312"/>
                <w:color w:val="000000"/>
                <w:kern w:val="0"/>
                <w:sz w:val="32"/>
                <w:szCs w:val="32"/>
                <w:vertAlign w:val="baseline"/>
                <w:lang w:val="en-US" w:eastAsia="zh-CN"/>
              </w:rPr>
              <w:t>社会保险</w:t>
            </w:r>
          </w:p>
        </w:tc>
        <w:tc>
          <w:tcPr>
            <w:tcW w:w="3485" w:type="dxa"/>
            <w:vAlign w:val="center"/>
          </w:tcPr>
          <w:p>
            <w:pPr>
              <w:keepNext w:val="0"/>
              <w:keepLines w:val="0"/>
              <w:pageBreakBefore w:val="0"/>
              <w:widowControl/>
              <w:numPr>
                <w:ilvl w:val="0"/>
                <w:numId w:val="0"/>
              </w:numPr>
              <w:kinsoku/>
              <w:wordWrap/>
              <w:overflowPunct/>
              <w:topLinePunct/>
              <w:autoSpaceDE/>
              <w:autoSpaceDN/>
              <w:bidi w:val="0"/>
              <w:adjustRightInd w:val="0"/>
              <w:snapToGrid w:val="0"/>
              <w:spacing w:line="240" w:lineRule="auto"/>
              <w:jc w:val="center"/>
              <w:textAlignment w:val="auto"/>
              <w:rPr>
                <w:rFonts w:hint="eastAsia" w:ascii="仿宋_GB2312" w:hAnsi="方正小标宋_GBK" w:eastAsia="仿宋_GB2312" w:cs="仿宋_GB2312"/>
                <w:color w:val="000000"/>
                <w:kern w:val="0"/>
                <w:sz w:val="32"/>
                <w:szCs w:val="32"/>
                <w:vertAlign w:val="baseline"/>
                <w:lang w:val="en-US" w:eastAsia="zh-CN"/>
              </w:rPr>
            </w:pPr>
            <w:r>
              <w:rPr>
                <w:rFonts w:hint="eastAsia" w:ascii="仿宋_GB2312" w:hAnsi="方正小标宋_GBK" w:eastAsia="仿宋_GB2312" w:cs="仿宋_GB2312"/>
                <w:color w:val="000000"/>
                <w:kern w:val="0"/>
                <w:sz w:val="32"/>
                <w:szCs w:val="32"/>
                <w:vertAlign w:val="baseline"/>
                <w:lang w:val="en-US" w:eastAsia="zh-CN"/>
              </w:rPr>
              <w:t>派出单位缴纳</w:t>
            </w:r>
          </w:p>
        </w:tc>
        <w:tc>
          <w:tcPr>
            <w:tcW w:w="3611" w:type="dxa"/>
            <w:vAlign w:val="center"/>
          </w:tcPr>
          <w:p>
            <w:pPr>
              <w:keepNext w:val="0"/>
              <w:keepLines w:val="0"/>
              <w:pageBreakBefore w:val="0"/>
              <w:widowControl/>
              <w:numPr>
                <w:ilvl w:val="0"/>
                <w:numId w:val="0"/>
              </w:numPr>
              <w:kinsoku/>
              <w:wordWrap/>
              <w:overflowPunct/>
              <w:topLinePunct/>
              <w:autoSpaceDE/>
              <w:autoSpaceDN/>
              <w:bidi w:val="0"/>
              <w:adjustRightInd w:val="0"/>
              <w:snapToGrid w:val="0"/>
              <w:spacing w:line="240" w:lineRule="auto"/>
              <w:jc w:val="center"/>
              <w:textAlignment w:val="auto"/>
              <w:rPr>
                <w:rFonts w:hint="default" w:ascii="仿宋_GB2312" w:hAnsi="方正小标宋_GBK" w:eastAsia="仿宋_GB2312" w:cs="仿宋_GB2312"/>
                <w:color w:val="000000"/>
                <w:kern w:val="0"/>
                <w:sz w:val="32"/>
                <w:szCs w:val="32"/>
                <w:vertAlign w:val="baseline"/>
                <w:lang w:val="en-US" w:eastAsia="zh-CN"/>
              </w:rPr>
            </w:pPr>
            <w:r>
              <w:rPr>
                <w:rFonts w:hint="eastAsia" w:ascii="仿宋_GB2312" w:hAnsi="方正小标宋_GBK" w:eastAsia="仿宋_GB2312" w:cs="仿宋_GB2312"/>
                <w:color w:val="000000"/>
                <w:kern w:val="0"/>
                <w:sz w:val="32"/>
                <w:szCs w:val="32"/>
                <w:lang w:val="en-US" w:eastAsia="zh-CN"/>
              </w:rPr>
              <w:t>根据当年缴费基数及比例核定具体金额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1723" w:type="dxa"/>
            <w:vAlign w:val="center"/>
          </w:tcPr>
          <w:p>
            <w:pPr>
              <w:keepNext w:val="0"/>
              <w:keepLines w:val="0"/>
              <w:pageBreakBefore w:val="0"/>
              <w:widowControl/>
              <w:numPr>
                <w:ilvl w:val="0"/>
                <w:numId w:val="0"/>
              </w:numPr>
              <w:kinsoku/>
              <w:wordWrap/>
              <w:overflowPunct/>
              <w:topLinePunct/>
              <w:autoSpaceDE/>
              <w:autoSpaceDN/>
              <w:bidi w:val="0"/>
              <w:adjustRightInd w:val="0"/>
              <w:snapToGrid w:val="0"/>
              <w:spacing w:line="240" w:lineRule="auto"/>
              <w:jc w:val="center"/>
              <w:textAlignment w:val="auto"/>
              <w:rPr>
                <w:rFonts w:hint="eastAsia" w:ascii="仿宋_GB2312" w:hAnsi="方正小标宋_GBK" w:eastAsia="仿宋_GB2312" w:cs="仿宋_GB2312"/>
                <w:color w:val="000000"/>
                <w:kern w:val="0"/>
                <w:sz w:val="32"/>
                <w:szCs w:val="32"/>
                <w:vertAlign w:val="baseline"/>
                <w:lang w:val="en-US" w:eastAsia="zh-CN"/>
              </w:rPr>
            </w:pPr>
            <w:r>
              <w:rPr>
                <w:rFonts w:hint="eastAsia" w:ascii="仿宋_GB2312" w:hAnsi="方正小标宋_GBK" w:eastAsia="仿宋_GB2312" w:cs="仿宋_GB2312"/>
                <w:color w:val="000000"/>
                <w:kern w:val="0"/>
                <w:sz w:val="32"/>
                <w:szCs w:val="32"/>
                <w:vertAlign w:val="baseline"/>
                <w:lang w:val="en-US" w:eastAsia="zh-CN"/>
              </w:rPr>
              <w:t>绩效奖励</w:t>
            </w:r>
          </w:p>
        </w:tc>
        <w:tc>
          <w:tcPr>
            <w:tcW w:w="7096" w:type="dxa"/>
            <w:gridSpan w:val="2"/>
            <w:vAlign w:val="center"/>
          </w:tcPr>
          <w:p>
            <w:pPr>
              <w:keepNext w:val="0"/>
              <w:keepLines w:val="0"/>
              <w:pageBreakBefore w:val="0"/>
              <w:widowControl/>
              <w:numPr>
                <w:ilvl w:val="0"/>
                <w:numId w:val="0"/>
              </w:numPr>
              <w:kinsoku/>
              <w:wordWrap/>
              <w:overflowPunct/>
              <w:topLinePunct/>
              <w:autoSpaceDE/>
              <w:autoSpaceDN/>
              <w:bidi w:val="0"/>
              <w:adjustRightInd w:val="0"/>
              <w:snapToGrid w:val="0"/>
              <w:spacing w:line="240" w:lineRule="auto"/>
              <w:jc w:val="center"/>
              <w:textAlignment w:val="auto"/>
              <w:rPr>
                <w:rFonts w:hint="eastAsia" w:ascii="仿宋_GB2312" w:hAnsi="方正小标宋_GBK" w:eastAsia="仿宋_GB2312" w:cs="仿宋_GB2312"/>
                <w:color w:val="000000"/>
                <w:kern w:val="0"/>
                <w:sz w:val="32"/>
                <w:szCs w:val="32"/>
                <w:vertAlign w:val="baseline"/>
                <w:lang w:val="en-US" w:eastAsia="zh-CN"/>
              </w:rPr>
            </w:pPr>
            <w:r>
              <w:rPr>
                <w:rFonts w:hint="eastAsia" w:ascii="仿宋_GB2312" w:hAnsi="方正小标宋_GBK" w:eastAsia="仿宋_GB2312" w:cs="仿宋_GB2312"/>
                <w:color w:val="000000"/>
                <w:kern w:val="0"/>
                <w:sz w:val="32"/>
                <w:szCs w:val="32"/>
                <w:vertAlign w:val="baseline"/>
                <w:lang w:val="en-US" w:eastAsia="zh-CN"/>
              </w:rPr>
              <w:t>根据是否独立值班由轮转科室发放</w:t>
            </w:r>
          </w:p>
        </w:tc>
      </w:tr>
    </w:tbl>
    <w:p>
      <w:pPr>
        <w:numPr>
          <w:ilvl w:val="0"/>
          <w:numId w:val="0"/>
        </w:numPr>
        <w:topLinePunct/>
        <w:adjustRightInd w:val="0"/>
        <w:snapToGrid w:val="0"/>
        <w:spacing w:line="570" w:lineRule="exact"/>
        <w:ind w:firstLine="643" w:firstLineChars="200"/>
        <w:rPr>
          <w:rFonts w:hint="eastAsia" w:ascii="仿宋_GB2312" w:hAnsi="方正小标宋_GBK" w:eastAsia="仿宋_GB2312" w:cs="仿宋_GB2312"/>
          <w:b/>
          <w:bCs/>
          <w:color w:val="000000"/>
          <w:kern w:val="0"/>
          <w:sz w:val="32"/>
          <w:szCs w:val="32"/>
          <w:lang w:val="en-US" w:eastAsia="zh-CN"/>
        </w:rPr>
      </w:pPr>
      <w:r>
        <w:rPr>
          <w:rFonts w:hint="eastAsia" w:ascii="仿宋_GB2312" w:hAnsi="方正小标宋_GBK" w:eastAsia="仿宋_GB2312" w:cs="仿宋_GB2312"/>
          <w:b/>
          <w:bCs/>
          <w:color w:val="000000"/>
          <w:kern w:val="0"/>
          <w:sz w:val="32"/>
          <w:szCs w:val="32"/>
          <w:lang w:val="en-US" w:eastAsia="zh-CN"/>
        </w:rPr>
        <w:t>（二）取得《住院医师规范化培训合格证书》后享受“两个同等对待”</w:t>
      </w:r>
    </w:p>
    <w:p>
      <w:pPr>
        <w:numPr>
          <w:ilvl w:val="0"/>
          <w:numId w:val="0"/>
        </w:num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lang w:val="en-US" w:eastAsia="zh-CN"/>
        </w:rPr>
      </w:pPr>
      <w:r>
        <w:rPr>
          <w:rFonts w:hint="default" w:ascii="仿宋_GB2312" w:hAnsi="方正小标宋_GBK" w:eastAsia="仿宋_GB2312" w:cs="仿宋_GB2312"/>
          <w:color w:val="000000"/>
          <w:kern w:val="0"/>
          <w:sz w:val="32"/>
          <w:szCs w:val="32"/>
          <w:lang w:val="en-US" w:eastAsia="zh-CN"/>
        </w:rPr>
        <w:t>“面向社会招收的住院医师如为普通高校应届毕业生的，其住培合格当年在医疗卫生机构就业，按当年应届毕业生同等对待”，“经住培合格的本科学历临床医师，按临床医学、口腔医学专业学位硕士研究生同等对待”。</w:t>
      </w:r>
      <w:r>
        <w:rPr>
          <w:rFonts w:hint="eastAsia" w:ascii="仿宋_GB2312" w:hAnsi="方正小标宋_GBK" w:eastAsia="仿宋_GB2312" w:cs="仿宋_GB2312"/>
          <w:color w:val="000000"/>
          <w:kern w:val="0"/>
          <w:sz w:val="32"/>
          <w:szCs w:val="32"/>
          <w:lang w:val="en-US" w:eastAsia="zh-CN"/>
        </w:rPr>
        <w:t xml:space="preserve">   </w:t>
      </w:r>
    </w:p>
    <w:p>
      <w:pPr>
        <w:numPr>
          <w:ilvl w:val="0"/>
          <w:numId w:val="0"/>
        </w:numPr>
        <w:topLinePunct/>
        <w:adjustRightInd w:val="0"/>
        <w:snapToGrid w:val="0"/>
        <w:spacing w:line="570" w:lineRule="exact"/>
        <w:ind w:firstLine="643" w:firstLineChars="200"/>
        <w:rPr>
          <w:rFonts w:hint="eastAsia"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b/>
          <w:bCs/>
          <w:color w:val="000000"/>
          <w:kern w:val="0"/>
          <w:sz w:val="32"/>
          <w:szCs w:val="32"/>
          <w:lang w:val="en-US" w:eastAsia="zh-CN"/>
        </w:rPr>
        <w:t>（三）其它待遇</w:t>
      </w:r>
      <w:r>
        <w:rPr>
          <w:rFonts w:hint="eastAsia" w:ascii="仿宋_GB2312" w:hAnsi="方正小标宋_GBK" w:eastAsia="仿宋_GB2312" w:cs="仿宋_GB2312"/>
          <w:color w:val="000000"/>
          <w:kern w:val="0"/>
          <w:sz w:val="32"/>
          <w:szCs w:val="32"/>
          <w:lang w:val="en-US" w:eastAsia="zh-CN"/>
        </w:rPr>
        <w:br w:type="textWrapping"/>
      </w:r>
      <w:r>
        <w:rPr>
          <w:rFonts w:hint="eastAsia" w:ascii="仿宋_GB2312" w:hAnsi="方正小标宋_GBK" w:eastAsia="仿宋_GB2312" w:cs="仿宋_GB2312"/>
          <w:color w:val="000000"/>
          <w:kern w:val="0"/>
          <w:sz w:val="32"/>
          <w:szCs w:val="32"/>
          <w:lang w:val="en-US" w:eastAsia="zh-CN"/>
        </w:rPr>
        <w:t>    1.签订培训协议，培训时间为36个月。</w:t>
      </w:r>
      <w:r>
        <w:rPr>
          <w:rFonts w:hint="eastAsia" w:ascii="仿宋_GB2312" w:hAnsi="方正小标宋_GBK" w:eastAsia="仿宋_GB2312" w:cs="仿宋_GB2312"/>
          <w:color w:val="000000"/>
          <w:kern w:val="0"/>
          <w:sz w:val="32"/>
          <w:szCs w:val="32"/>
          <w:lang w:val="en-US" w:eastAsia="zh-CN"/>
        </w:rPr>
        <w:br w:type="textWrapping"/>
      </w:r>
      <w:r>
        <w:rPr>
          <w:rFonts w:hint="eastAsia" w:ascii="仿宋_GB2312" w:hAnsi="方正小标宋_GBK" w:eastAsia="仿宋_GB2312" w:cs="仿宋_GB2312"/>
          <w:color w:val="000000"/>
          <w:kern w:val="0"/>
          <w:sz w:val="32"/>
          <w:szCs w:val="32"/>
          <w:lang w:val="en-US" w:eastAsia="zh-CN"/>
        </w:rPr>
        <w:t>    2.培训期间，组织住培学员进行一次免费体检。</w:t>
      </w:r>
      <w:r>
        <w:rPr>
          <w:rFonts w:hint="eastAsia" w:ascii="仿宋_GB2312" w:hAnsi="方正小标宋_GBK" w:eastAsia="仿宋_GB2312" w:cs="仿宋_GB2312"/>
          <w:color w:val="000000"/>
          <w:kern w:val="0"/>
          <w:sz w:val="32"/>
          <w:szCs w:val="32"/>
          <w:lang w:val="en-US" w:eastAsia="zh-CN"/>
        </w:rPr>
        <w:br w:type="textWrapping"/>
      </w:r>
      <w:r>
        <w:rPr>
          <w:rFonts w:hint="eastAsia" w:ascii="仿宋_GB2312" w:hAnsi="方正小标宋_GBK" w:eastAsia="仿宋_GB2312" w:cs="仿宋_GB2312"/>
          <w:color w:val="000000"/>
          <w:kern w:val="0"/>
          <w:sz w:val="32"/>
          <w:szCs w:val="32"/>
          <w:lang w:val="en-US" w:eastAsia="zh-CN"/>
        </w:rPr>
        <w:t>    3.免费提供工作服、胸卡、停车等。</w:t>
      </w:r>
      <w:r>
        <w:rPr>
          <w:rFonts w:hint="eastAsia" w:ascii="仿宋_GB2312" w:hAnsi="方正小标宋_GBK" w:eastAsia="仿宋_GB2312" w:cs="仿宋_GB2312"/>
          <w:color w:val="000000"/>
          <w:kern w:val="0"/>
          <w:sz w:val="32"/>
          <w:szCs w:val="32"/>
          <w:lang w:val="en-US" w:eastAsia="zh-CN"/>
        </w:rPr>
        <w:br w:type="textWrapping"/>
      </w:r>
      <w:r>
        <w:rPr>
          <w:rFonts w:hint="eastAsia" w:ascii="仿宋_GB2312" w:hAnsi="方正小标宋_GBK" w:eastAsia="仿宋_GB2312" w:cs="仿宋_GB2312"/>
          <w:color w:val="000000"/>
          <w:kern w:val="0"/>
          <w:sz w:val="32"/>
          <w:szCs w:val="32"/>
          <w:lang w:val="en-US" w:eastAsia="zh-CN"/>
        </w:rPr>
        <w:t>    4.提供低收费标准的住宿，宿舍设施配备齐全。</w:t>
      </w:r>
      <w:r>
        <w:rPr>
          <w:rFonts w:hint="eastAsia" w:ascii="仿宋_GB2312" w:hAnsi="方正小标宋_GBK" w:eastAsia="仿宋_GB2312" w:cs="仿宋_GB2312"/>
          <w:color w:val="000000"/>
          <w:kern w:val="0"/>
          <w:sz w:val="32"/>
          <w:szCs w:val="32"/>
          <w:lang w:val="en-US" w:eastAsia="zh-CN"/>
        </w:rPr>
        <w:br w:type="textWrapping"/>
      </w:r>
      <w:r>
        <w:rPr>
          <w:rFonts w:hint="eastAsia" w:ascii="仿宋_GB2312" w:hAnsi="方正小标宋_GBK" w:eastAsia="仿宋_GB2312" w:cs="仿宋_GB2312"/>
          <w:color w:val="000000"/>
          <w:kern w:val="0"/>
          <w:sz w:val="32"/>
          <w:szCs w:val="32"/>
          <w:lang w:val="en-US" w:eastAsia="zh-CN"/>
        </w:rPr>
        <w:t>    5.免费提供技能培训中心、思维训练室等教学场地及活动场所。</w:t>
      </w:r>
      <w:r>
        <w:rPr>
          <w:rFonts w:hint="eastAsia" w:ascii="仿宋_GB2312" w:hAnsi="方正小标宋_GBK" w:eastAsia="仿宋_GB2312" w:cs="仿宋_GB2312"/>
          <w:color w:val="000000"/>
          <w:kern w:val="0"/>
          <w:sz w:val="32"/>
          <w:szCs w:val="32"/>
          <w:lang w:val="en-US" w:eastAsia="zh-CN"/>
        </w:rPr>
        <w:br w:type="textWrapping"/>
      </w:r>
      <w:r>
        <w:rPr>
          <w:rFonts w:hint="eastAsia" w:ascii="仿宋_GB2312" w:hAnsi="方正小标宋_GBK" w:eastAsia="仿宋_GB2312" w:cs="仿宋_GB2312"/>
          <w:color w:val="000000"/>
          <w:kern w:val="0"/>
          <w:sz w:val="32"/>
          <w:szCs w:val="32"/>
          <w:lang w:val="en-US" w:eastAsia="zh-CN"/>
        </w:rPr>
        <w:t>    6.每年开展各项评优树先活动，表彰优秀住培学员，并发放一定奖励。</w:t>
      </w:r>
    </w:p>
    <w:p>
      <w:pPr>
        <w:numPr>
          <w:ilvl w:val="0"/>
          <w:numId w:val="0"/>
        </w:numPr>
        <w:topLinePunct/>
        <w:adjustRightInd w:val="0"/>
        <w:snapToGrid w:val="0"/>
        <w:spacing w:line="570" w:lineRule="exact"/>
        <w:ind w:firstLine="640" w:firstLineChars="200"/>
        <w:rPr>
          <w:rFonts w:hint="eastAsia" w:ascii="黑体" w:hAnsi="黑体" w:eastAsia="黑体" w:cs="黑体"/>
          <w:color w:val="000000"/>
          <w:kern w:val="0"/>
          <w:sz w:val="32"/>
          <w:szCs w:val="32"/>
          <w:lang w:val="en-US" w:eastAsia="zh-CN"/>
        </w:rPr>
      </w:pPr>
      <w:r>
        <w:rPr>
          <w:rFonts w:hint="eastAsia" w:ascii="黑体" w:hAnsi="黑体" w:eastAsia="黑体" w:cs="黑体"/>
          <w:color w:val="000000"/>
          <w:kern w:val="0"/>
          <w:sz w:val="32"/>
          <w:szCs w:val="32"/>
          <w:lang w:val="en-US" w:eastAsia="zh-CN"/>
        </w:rPr>
        <w:t>七、联系方式：</w:t>
      </w:r>
    </w:p>
    <w:p>
      <w:pPr>
        <w:numPr>
          <w:ilvl w:val="0"/>
          <w:numId w:val="0"/>
        </w:numPr>
        <w:topLinePunct/>
        <w:adjustRightInd w:val="0"/>
        <w:snapToGrid w:val="0"/>
        <w:spacing w:line="570" w:lineRule="exact"/>
        <w:ind w:firstLine="960" w:firstLineChars="300"/>
        <w:rPr>
          <w:rFonts w:hint="eastAsia"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lang w:val="en-US" w:eastAsia="zh-CN"/>
        </w:rPr>
        <w:t>通辽市医院毕业后医学教育办公室</w:t>
      </w:r>
    </w:p>
    <w:p>
      <w:pPr>
        <w:numPr>
          <w:ilvl w:val="0"/>
          <w:numId w:val="0"/>
        </w:numPr>
        <w:topLinePunct/>
        <w:adjustRightInd w:val="0"/>
        <w:snapToGrid w:val="0"/>
        <w:spacing w:line="570" w:lineRule="exact"/>
        <w:ind w:firstLine="640" w:firstLineChars="200"/>
        <w:rPr>
          <w:rFonts w:hint="default"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lang w:val="en-US" w:eastAsia="zh-CN"/>
        </w:rPr>
        <w:t>   联系人：刘老师 姚老师 聂老师</w:t>
      </w:r>
    </w:p>
    <w:p>
      <w:pPr>
        <w:numPr>
          <w:ilvl w:val="0"/>
          <w:numId w:val="0"/>
        </w:numPr>
        <w:topLinePunct/>
        <w:adjustRightInd w:val="0"/>
        <w:snapToGrid w:val="0"/>
        <w:spacing w:line="570" w:lineRule="exact"/>
        <w:ind w:firstLine="960" w:firstLineChars="300"/>
        <w:rPr>
          <w:rFonts w:hint="eastAsia"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lang w:val="en-US" w:eastAsia="zh-CN"/>
        </w:rPr>
        <w:t>联系电话：0475-8251566</w:t>
      </w:r>
    </w:p>
    <w:p>
      <w:pPr>
        <w:numPr>
          <w:ilvl w:val="0"/>
          <w:numId w:val="0"/>
        </w:num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lang w:val="en-US" w:eastAsia="zh-CN"/>
        </w:rPr>
        <w:t>   联系微信群：</w:t>
      </w:r>
    </w:p>
    <w:p>
      <w:pPr>
        <w:numPr>
          <w:ilvl w:val="0"/>
          <w:numId w:val="0"/>
        </w:numPr>
        <w:topLinePunct/>
        <w:adjustRightInd w:val="0"/>
        <w:snapToGrid w:val="0"/>
        <w:spacing w:line="570" w:lineRule="exact"/>
        <w:ind w:firstLine="640" w:firstLineChars="200"/>
        <w:rPr>
          <w:rFonts w:hint="default"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lang w:val="en-US" w:eastAsia="zh-CN"/>
        </w:rPr>
        <w:drawing>
          <wp:anchor distT="0" distB="0" distL="114300" distR="114300" simplePos="0" relativeHeight="251659264" behindDoc="0" locked="0" layoutInCell="1" allowOverlap="1">
            <wp:simplePos x="0" y="0"/>
            <wp:positionH relativeFrom="column">
              <wp:posOffset>549275</wp:posOffset>
            </wp:positionH>
            <wp:positionV relativeFrom="paragraph">
              <wp:posOffset>109855</wp:posOffset>
            </wp:positionV>
            <wp:extent cx="3265805" cy="4178300"/>
            <wp:effectExtent l="0" t="0" r="10795" b="12700"/>
            <wp:wrapTopAndBottom/>
            <wp:docPr id="2" name="图片 2" descr="281cc7e27146fe137e660bd7a0fb5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81cc7e27146fe137e660bd7a0fb5ad"/>
                    <pic:cNvPicPr>
                      <a:picLocks noChangeAspect="1"/>
                    </pic:cNvPicPr>
                  </pic:nvPicPr>
                  <pic:blipFill>
                    <a:blip r:embed="rId7"/>
                    <a:stretch>
                      <a:fillRect/>
                    </a:stretch>
                  </pic:blipFill>
                  <pic:spPr>
                    <a:xfrm>
                      <a:off x="0" y="0"/>
                      <a:ext cx="3265805" cy="4178300"/>
                    </a:xfrm>
                    <a:prstGeom prst="rect">
                      <a:avLst/>
                    </a:prstGeom>
                  </pic:spPr>
                </pic:pic>
              </a:graphicData>
            </a:graphic>
          </wp:anchor>
        </w:drawing>
      </w: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FF5C94B-542B-4EB6-B1B0-2F1EA2A7DA8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embedRegular r:id="rId2" w:fontKey="{2F6EFBC5-A0B4-4C85-98C3-F96EC3F909AE}"/>
  </w:font>
  <w:font w:name="仿宋_GB2312">
    <w:panose1 w:val="02010609030101010101"/>
    <w:charset w:val="86"/>
    <w:family w:val="auto"/>
    <w:pitch w:val="default"/>
    <w:sig w:usb0="00000001" w:usb1="080E0000" w:usb2="00000000" w:usb3="00000000" w:csb0="00040000" w:csb1="00000000"/>
    <w:embedRegular r:id="rId3" w:fontKey="{1708BA34-873C-4651-9886-D6D3A52EEF17}"/>
  </w:font>
  <w:font w:name="方正小标宋_GBK">
    <w:panose1 w:val="02000000000000000000"/>
    <w:charset w:val="86"/>
    <w:family w:val="script"/>
    <w:pitch w:val="default"/>
    <w:sig w:usb0="A00002BF" w:usb1="38CF7CFA" w:usb2="00082016" w:usb3="00000000" w:csb0="00040001" w:csb1="00000000"/>
    <w:embedRegular r:id="rId4" w:fontKey="{93167FA4-A053-4204-B6EA-3AACF2202DF9}"/>
  </w:font>
  <w:font w:name="楷体_GB2312">
    <w:panose1 w:val="02010609030101010101"/>
    <w:charset w:val="86"/>
    <w:family w:val="modern"/>
    <w:pitch w:val="default"/>
    <w:sig w:usb0="00000001" w:usb1="080E0000" w:usb2="00000000" w:usb3="00000000" w:csb0="00040000" w:csb1="00000000"/>
    <w:embedRegular r:id="rId5" w:fontKey="{D871A308-4BDF-4910-8B0F-6CFA30094EA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34C4F5"/>
    <w:multiLevelType w:val="singleLevel"/>
    <w:tmpl w:val="3234C4F5"/>
    <w:lvl w:ilvl="0" w:tentative="0">
      <w:start w:val="1"/>
      <w:numFmt w:val="chineseCounting"/>
      <w:suff w:val="nothing"/>
      <w:lvlText w:val="%1、"/>
      <w:lvlJc w:val="left"/>
      <w:pPr>
        <w:ind w:left="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1MTNkZjY4MzY0ZTYzMTVjZWI0ZmE5NjczYzVjMWEifQ=="/>
  </w:docVars>
  <w:rsids>
    <w:rsidRoot w:val="00000000"/>
    <w:rsid w:val="057A0F33"/>
    <w:rsid w:val="1CAD1E93"/>
    <w:rsid w:val="1FD207B9"/>
    <w:rsid w:val="224B09E0"/>
    <w:rsid w:val="238336E3"/>
    <w:rsid w:val="28320C32"/>
    <w:rsid w:val="2ABB6260"/>
    <w:rsid w:val="35E81CA3"/>
    <w:rsid w:val="3FA9266B"/>
    <w:rsid w:val="49234904"/>
    <w:rsid w:val="4DBB2AC6"/>
    <w:rsid w:val="51AF2741"/>
    <w:rsid w:val="59296B04"/>
    <w:rsid w:val="5F6264AB"/>
    <w:rsid w:val="65C833C3"/>
    <w:rsid w:val="6CD269E4"/>
    <w:rsid w:val="6FFF214D"/>
    <w:rsid w:val="71F2061A"/>
    <w:rsid w:val="72E21CD5"/>
    <w:rsid w:val="73C91A0D"/>
    <w:rsid w:val="79D8434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line="240" w:lineRule="auto"/>
    </w:pPr>
    <w:rPr>
      <w:rFonts w:ascii="Tahoma" w:hAnsi="Tahoma" w:eastAsia="微软雅黑" w:cstheme="minorBidi"/>
      <w:sz w:val="22"/>
      <w:szCs w:val="22"/>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Autospacing="1" w:afterAutospacing="1"/>
      <w:jc w:val="left"/>
    </w:pPr>
    <w:rPr>
      <w:rFonts w:ascii="Calibri" w:hAnsi="Calibri" w:cs="Calibri"/>
      <w:kern w:val="0"/>
      <w:sz w:val="24"/>
      <w:szCs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2612</Words>
  <Characters>2749</Characters>
  <Lines>0</Lines>
  <Paragraphs>0</Paragraphs>
  <TotalTime>39</TotalTime>
  <ScaleCrop>false</ScaleCrop>
  <LinksUpToDate>false</LinksUpToDate>
  <CharactersWithSpaces>2794</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湮</cp:lastModifiedBy>
  <cp:lastPrinted>2022-07-04T02:33:00Z</cp:lastPrinted>
  <dcterms:modified xsi:type="dcterms:W3CDTF">2022-07-05T01:29:30Z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6319F8062AF14A3CACC125FC9D18EBBE</vt:lpwstr>
  </property>
</Properties>
</file>