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附件1</w:t>
      </w:r>
    </w:p>
    <w:p>
      <w:pPr>
        <w:spacing w:line="460" w:lineRule="exact"/>
        <w:jc w:val="center"/>
        <w:rPr>
          <w:rFonts w:hint="eastAsia" w:ascii="仿宋" w:hAnsi="仿宋" w:eastAsia="仿宋"/>
          <w:b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pacing w:val="0"/>
          <w:sz w:val="32"/>
          <w:szCs w:val="32"/>
        </w:rPr>
        <w:t>惠州市第一人民医院202</w:t>
      </w:r>
      <w:r>
        <w:rPr>
          <w:rFonts w:hint="eastAsia" w:ascii="仿宋" w:hAnsi="仿宋" w:eastAsia="仿宋"/>
          <w:b/>
          <w:color w:val="auto"/>
          <w:spacing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/>
          <w:color w:val="auto"/>
          <w:spacing w:val="0"/>
          <w:sz w:val="32"/>
          <w:szCs w:val="32"/>
        </w:rPr>
        <w:t>年聘用制员工招聘职位表（</w:t>
      </w:r>
      <w:r>
        <w:rPr>
          <w:rFonts w:hint="eastAsia" w:ascii="仿宋" w:hAnsi="仿宋" w:eastAsia="仿宋"/>
          <w:b/>
          <w:bCs/>
          <w:color w:val="auto"/>
          <w:spacing w:val="0"/>
          <w:sz w:val="28"/>
          <w:szCs w:val="28"/>
        </w:rPr>
        <w:t>惠市一医公招</w:t>
      </w:r>
      <w:r>
        <w:rPr>
          <w:rFonts w:ascii="仿宋" w:hAnsi="仿宋" w:eastAsia="仿宋"/>
          <w:b/>
          <w:bCs/>
          <w:color w:val="auto"/>
          <w:spacing w:val="0"/>
          <w:sz w:val="28"/>
          <w:szCs w:val="28"/>
        </w:rPr>
        <w:t>〔20</w:t>
      </w:r>
      <w:r>
        <w:rPr>
          <w:rFonts w:hint="eastAsia" w:ascii="仿宋" w:hAnsi="仿宋" w:eastAsia="仿宋"/>
          <w:b/>
          <w:bCs/>
          <w:color w:val="auto"/>
          <w:spacing w:val="0"/>
          <w:sz w:val="28"/>
          <w:szCs w:val="28"/>
        </w:rPr>
        <w:t>2</w:t>
      </w:r>
      <w:r>
        <w:rPr>
          <w:rFonts w:hint="eastAsia" w:ascii="仿宋" w:hAnsi="仿宋" w:eastAsia="仿宋"/>
          <w:b/>
          <w:bCs/>
          <w:color w:val="auto"/>
          <w:spacing w:val="0"/>
          <w:sz w:val="28"/>
          <w:szCs w:val="28"/>
          <w:lang w:val="en-US" w:eastAsia="zh-CN"/>
        </w:rPr>
        <w:t>2</w:t>
      </w:r>
      <w:r>
        <w:rPr>
          <w:rFonts w:ascii="仿宋" w:hAnsi="仿宋" w:eastAsia="仿宋"/>
          <w:b/>
          <w:bCs/>
          <w:color w:val="auto"/>
          <w:spacing w:val="0"/>
          <w:sz w:val="28"/>
          <w:szCs w:val="28"/>
        </w:rPr>
        <w:t>〕</w:t>
      </w:r>
      <w:r>
        <w:rPr>
          <w:rFonts w:hint="eastAsia" w:ascii="仿宋" w:hAnsi="仿宋" w:eastAsia="仿宋"/>
          <w:b/>
          <w:bCs/>
          <w:color w:val="auto"/>
          <w:spacing w:val="0"/>
          <w:sz w:val="28"/>
          <w:szCs w:val="28"/>
          <w:lang w:val="en-US" w:eastAsia="zh-CN"/>
        </w:rPr>
        <w:t>8</w:t>
      </w:r>
      <w:r>
        <w:rPr>
          <w:rFonts w:ascii="仿宋" w:hAnsi="仿宋" w:eastAsia="仿宋"/>
          <w:b/>
          <w:bCs/>
          <w:color w:val="auto"/>
          <w:spacing w:val="0"/>
          <w:sz w:val="28"/>
          <w:szCs w:val="28"/>
        </w:rPr>
        <w:t>号</w:t>
      </w:r>
      <w:r>
        <w:rPr>
          <w:rFonts w:hint="eastAsia" w:ascii="仿宋" w:hAnsi="仿宋" w:eastAsia="仿宋"/>
          <w:b/>
          <w:color w:val="auto"/>
          <w:spacing w:val="0"/>
          <w:sz w:val="32"/>
          <w:szCs w:val="32"/>
        </w:rPr>
        <w:t>）</w:t>
      </w:r>
    </w:p>
    <w:tbl>
      <w:tblPr>
        <w:tblStyle w:val="11"/>
        <w:tblW w:w="145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7"/>
        <w:gridCol w:w="780"/>
        <w:gridCol w:w="1155"/>
        <w:gridCol w:w="1170"/>
        <w:gridCol w:w="720"/>
        <w:gridCol w:w="900"/>
        <w:gridCol w:w="945"/>
        <w:gridCol w:w="1920"/>
        <w:gridCol w:w="1695"/>
        <w:gridCol w:w="1200"/>
        <w:gridCol w:w="1305"/>
        <w:gridCol w:w="2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tblHeader/>
        </w:trPr>
        <w:tc>
          <w:tcPr>
            <w:tcW w:w="597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序号</w:t>
            </w:r>
          </w:p>
        </w:tc>
        <w:tc>
          <w:tcPr>
            <w:tcW w:w="780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岗位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代码</w:t>
            </w:r>
          </w:p>
        </w:tc>
        <w:tc>
          <w:tcPr>
            <w:tcW w:w="1155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科室</w:t>
            </w:r>
          </w:p>
        </w:tc>
        <w:tc>
          <w:tcPr>
            <w:tcW w:w="1170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岗位名称</w:t>
            </w: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招聘人数</w:t>
            </w:r>
          </w:p>
        </w:tc>
        <w:tc>
          <w:tcPr>
            <w:tcW w:w="5460" w:type="dxa"/>
            <w:gridSpan w:val="4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学历要求</w:t>
            </w:r>
          </w:p>
        </w:tc>
        <w:tc>
          <w:tcPr>
            <w:tcW w:w="2505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专业技术资格</w:t>
            </w:r>
          </w:p>
        </w:tc>
        <w:tc>
          <w:tcPr>
            <w:tcW w:w="2200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tblHeader/>
        </w:trPr>
        <w:tc>
          <w:tcPr>
            <w:tcW w:w="597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78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155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17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学历</w:t>
            </w:r>
          </w:p>
        </w:tc>
        <w:tc>
          <w:tcPr>
            <w:tcW w:w="945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学位</w:t>
            </w:r>
          </w:p>
        </w:tc>
        <w:tc>
          <w:tcPr>
            <w:tcW w:w="192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  <w:t>专业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专业方向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资格</w:t>
            </w:r>
          </w:p>
        </w:tc>
        <w:tc>
          <w:tcPr>
            <w:tcW w:w="1305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专业（方向）</w:t>
            </w:r>
          </w:p>
        </w:tc>
        <w:tc>
          <w:tcPr>
            <w:tcW w:w="220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PD003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骨外科一区</w:t>
            </w:r>
          </w:p>
        </w:tc>
        <w:tc>
          <w:tcPr>
            <w:tcW w:w="11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4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博士</w:t>
            </w:r>
          </w:p>
        </w:tc>
        <w:tc>
          <w:tcPr>
            <w:tcW w:w="19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外科学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脊柱外科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主治医师及以上</w:t>
            </w:r>
          </w:p>
        </w:tc>
        <w:tc>
          <w:tcPr>
            <w:tcW w:w="13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骨外科</w:t>
            </w:r>
          </w:p>
        </w:tc>
        <w:tc>
          <w:tcPr>
            <w:tcW w:w="2200" w:type="dxa"/>
            <w:vMerge w:val="restart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1.招聘对象为应届毕业生或社会人士。应聘毕业生报名时需提供就业协议书（推荐表），入职时需提供报到证。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2.医师岗位均要求取得执业医师资格，且须在入职时完成住院医师规范化培训（博士除外）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2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PD004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骨外科二区</w:t>
            </w:r>
          </w:p>
        </w:tc>
        <w:tc>
          <w:tcPr>
            <w:tcW w:w="11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4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博士</w:t>
            </w:r>
          </w:p>
        </w:tc>
        <w:tc>
          <w:tcPr>
            <w:tcW w:w="19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外科学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关节外科、运动医学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主治医师及以上</w:t>
            </w:r>
          </w:p>
        </w:tc>
        <w:tc>
          <w:tcPr>
            <w:tcW w:w="13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骨外科</w:t>
            </w:r>
          </w:p>
        </w:tc>
        <w:tc>
          <w:tcPr>
            <w:tcW w:w="2200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3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PD006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脑血管病科</w:t>
            </w:r>
          </w:p>
        </w:tc>
        <w:tc>
          <w:tcPr>
            <w:tcW w:w="11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4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博士</w:t>
            </w:r>
          </w:p>
        </w:tc>
        <w:tc>
          <w:tcPr>
            <w:tcW w:w="19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外科学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神经外科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医师及以上</w:t>
            </w:r>
          </w:p>
        </w:tc>
        <w:tc>
          <w:tcPr>
            <w:tcW w:w="13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神经外科（主治）、外科</w:t>
            </w:r>
          </w:p>
        </w:tc>
        <w:tc>
          <w:tcPr>
            <w:tcW w:w="2200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4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PM040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骨外科四区</w:t>
            </w:r>
          </w:p>
        </w:tc>
        <w:tc>
          <w:tcPr>
            <w:tcW w:w="11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4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9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外科学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整形美容外科（光电治疗方向）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13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外科</w:t>
            </w:r>
          </w:p>
        </w:tc>
        <w:tc>
          <w:tcPr>
            <w:tcW w:w="2200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5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PM041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骨科</w:t>
            </w:r>
          </w:p>
        </w:tc>
        <w:tc>
          <w:tcPr>
            <w:tcW w:w="11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康复技师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4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9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康复医学与理疗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3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200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PM031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护理部</w:t>
            </w:r>
          </w:p>
        </w:tc>
        <w:tc>
          <w:tcPr>
            <w:tcW w:w="11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护士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4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9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30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200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PM050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医学检验科</w:t>
            </w:r>
          </w:p>
        </w:tc>
        <w:tc>
          <w:tcPr>
            <w:tcW w:w="11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检验技师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4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9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临床检验诊断学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免疫学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病原生物学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30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200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PM014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胃肠甲状腺外科</w:t>
            </w:r>
          </w:p>
        </w:tc>
        <w:tc>
          <w:tcPr>
            <w:tcW w:w="11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主治医师、医师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4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9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外科学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胃肠外科、普通外科、甲状腺外科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主治医师、医师</w:t>
            </w:r>
          </w:p>
        </w:tc>
        <w:tc>
          <w:tcPr>
            <w:tcW w:w="13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外科</w:t>
            </w:r>
          </w:p>
        </w:tc>
        <w:tc>
          <w:tcPr>
            <w:tcW w:w="2200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PM043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脑血管病科</w:t>
            </w:r>
          </w:p>
        </w:tc>
        <w:tc>
          <w:tcPr>
            <w:tcW w:w="11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4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9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内科学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神经内科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医师及以上</w:t>
            </w:r>
          </w:p>
        </w:tc>
        <w:tc>
          <w:tcPr>
            <w:tcW w:w="13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内科</w:t>
            </w:r>
          </w:p>
        </w:tc>
        <w:tc>
          <w:tcPr>
            <w:tcW w:w="2200" w:type="dxa"/>
            <w:vMerge w:val="restart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1.招聘对象为应届毕业生或社会人士。应聘毕业生报名时需提供就业协议书（推荐表），入职时需提供报到证。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2.医师岗位均要求取得执业医师资格，且须在入职时完成住院医师规范化培训（博士除外）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PM055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脑血管病科</w:t>
            </w:r>
          </w:p>
        </w:tc>
        <w:tc>
          <w:tcPr>
            <w:tcW w:w="11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4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9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外科学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神经外科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医师及以上</w:t>
            </w:r>
          </w:p>
        </w:tc>
        <w:tc>
          <w:tcPr>
            <w:tcW w:w="13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外科</w:t>
            </w:r>
          </w:p>
        </w:tc>
        <w:tc>
          <w:tcPr>
            <w:tcW w:w="2200" w:type="dxa"/>
            <w:vMerge w:val="continue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PM056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内分泌代谢科</w:t>
            </w:r>
          </w:p>
        </w:tc>
        <w:tc>
          <w:tcPr>
            <w:tcW w:w="11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主治医师、医师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4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9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内科学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内分泌代谢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主治医师、医师</w:t>
            </w:r>
          </w:p>
        </w:tc>
        <w:tc>
          <w:tcPr>
            <w:tcW w:w="130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内科</w:t>
            </w:r>
          </w:p>
        </w:tc>
        <w:tc>
          <w:tcPr>
            <w:tcW w:w="2200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PM024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麻醉科</w:t>
            </w:r>
          </w:p>
        </w:tc>
        <w:tc>
          <w:tcPr>
            <w:tcW w:w="11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医师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4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9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麻醉学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医师</w:t>
            </w:r>
          </w:p>
        </w:tc>
        <w:tc>
          <w:tcPr>
            <w:tcW w:w="13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麻醉</w:t>
            </w:r>
          </w:p>
        </w:tc>
        <w:tc>
          <w:tcPr>
            <w:tcW w:w="2200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PM029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核磁共振室</w:t>
            </w:r>
          </w:p>
        </w:tc>
        <w:tc>
          <w:tcPr>
            <w:tcW w:w="11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主治医师、医师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4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9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影像医学与核医学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主治医师、医师</w:t>
            </w:r>
          </w:p>
        </w:tc>
        <w:tc>
          <w:tcPr>
            <w:tcW w:w="130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放射医学</w:t>
            </w:r>
          </w:p>
        </w:tc>
        <w:tc>
          <w:tcPr>
            <w:tcW w:w="2200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PB019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儿科</w:t>
            </w:r>
          </w:p>
        </w:tc>
        <w:tc>
          <w:tcPr>
            <w:tcW w:w="11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新生儿科医师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4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9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儿科学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医师、主治医师</w:t>
            </w:r>
          </w:p>
        </w:tc>
        <w:tc>
          <w:tcPr>
            <w:tcW w:w="13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儿科</w:t>
            </w:r>
          </w:p>
        </w:tc>
        <w:tc>
          <w:tcPr>
            <w:tcW w:w="2200" w:type="dxa"/>
            <w:vMerge w:val="restart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1.医师岗位均要求取得执业医师资格，且完成住院医师规范化培训；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2.医师</w:t>
            </w:r>
            <w:r>
              <w:rPr>
                <w:rFonts w:hint="eastAsia"/>
                <w:lang w:val="en-US" w:eastAsia="zh-CN"/>
              </w:rPr>
              <w:t>岗位要求</w:t>
            </w:r>
            <w:r>
              <w:rPr>
                <w:rFonts w:hint="eastAsia"/>
              </w:rPr>
              <w:t>具备3年以上三级医院工作经历（规培期可视为工作经历）</w:t>
            </w:r>
            <w:r>
              <w:rPr>
                <w:rFonts w:hint="eastAsia"/>
                <w:lang w:eastAsia="zh-CN"/>
              </w:rPr>
              <w:t>。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3.技师岗位要求具备2年以上三级医院工作经历。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PB001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急诊内科</w:t>
            </w:r>
          </w:p>
        </w:tc>
        <w:tc>
          <w:tcPr>
            <w:tcW w:w="11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医师 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4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9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内科学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急诊医学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医师或主治医师</w:t>
            </w:r>
          </w:p>
        </w:tc>
        <w:tc>
          <w:tcPr>
            <w:tcW w:w="13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内科、急诊医学</w:t>
            </w:r>
          </w:p>
        </w:tc>
        <w:tc>
          <w:tcPr>
            <w:tcW w:w="2200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PB028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放射科</w:t>
            </w:r>
          </w:p>
        </w:tc>
        <w:tc>
          <w:tcPr>
            <w:tcW w:w="11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4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9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医学影像学、影像医学与核医学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13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放射医学</w:t>
            </w:r>
          </w:p>
        </w:tc>
        <w:tc>
          <w:tcPr>
            <w:tcW w:w="2200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PB032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疼痛医学科</w:t>
            </w:r>
          </w:p>
        </w:tc>
        <w:tc>
          <w:tcPr>
            <w:tcW w:w="11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医师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4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9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临床医学、麻醉学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医师</w:t>
            </w:r>
          </w:p>
        </w:tc>
        <w:tc>
          <w:tcPr>
            <w:tcW w:w="13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麻醉</w:t>
            </w:r>
          </w:p>
        </w:tc>
        <w:tc>
          <w:tcPr>
            <w:tcW w:w="2200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PB033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麻醉科</w:t>
            </w:r>
          </w:p>
        </w:tc>
        <w:tc>
          <w:tcPr>
            <w:tcW w:w="11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医师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4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9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临床医学、麻醉学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医师</w:t>
            </w:r>
          </w:p>
        </w:tc>
        <w:tc>
          <w:tcPr>
            <w:tcW w:w="13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麻醉</w:t>
            </w:r>
          </w:p>
        </w:tc>
        <w:tc>
          <w:tcPr>
            <w:tcW w:w="2200" w:type="dxa"/>
            <w:vMerge w:val="restart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1.医师岗位均要求取得执业医师资格，且完成住院医师规范化培训；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2.医师</w:t>
            </w:r>
            <w:r>
              <w:rPr>
                <w:rFonts w:hint="eastAsia"/>
                <w:lang w:val="en-US" w:eastAsia="zh-CN"/>
              </w:rPr>
              <w:t>岗位要求</w:t>
            </w:r>
            <w:r>
              <w:rPr>
                <w:rFonts w:hint="eastAsia"/>
              </w:rPr>
              <w:t>具备3年以上三级医院工作经历（规培期可视为工作经历）</w:t>
            </w:r>
            <w:r>
              <w:rPr>
                <w:rFonts w:hint="eastAsia"/>
                <w:lang w:eastAsia="zh-CN"/>
              </w:rPr>
              <w:t>。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/>
                <w:lang w:val="en-US" w:eastAsia="zh-CN"/>
              </w:rPr>
              <w:t>3.技师岗位要求具备2年以上三级医院工作经历。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PB030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核磁共振室</w:t>
            </w:r>
          </w:p>
        </w:tc>
        <w:tc>
          <w:tcPr>
            <w:tcW w:w="11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主治医师、医师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4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9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医学影像学、影像医学与核医学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主治医师、医师</w:t>
            </w:r>
          </w:p>
        </w:tc>
        <w:tc>
          <w:tcPr>
            <w:tcW w:w="13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放射医学</w:t>
            </w:r>
          </w:p>
        </w:tc>
        <w:tc>
          <w:tcPr>
            <w:tcW w:w="2200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PB034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放射科</w:t>
            </w:r>
          </w:p>
        </w:tc>
        <w:tc>
          <w:tcPr>
            <w:tcW w:w="11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技师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4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9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医学影像技术、医学影像学、影像医学与核医学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技师</w:t>
            </w:r>
          </w:p>
        </w:tc>
        <w:tc>
          <w:tcPr>
            <w:tcW w:w="13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放射</w:t>
            </w:r>
          </w:p>
        </w:tc>
        <w:tc>
          <w:tcPr>
            <w:tcW w:w="2200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3702" w:type="dxa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</w:rPr>
              <w:t>合计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9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30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</w:tbl>
    <w:p>
      <w:pPr>
        <w:pStyle w:val="3"/>
        <w:jc w:val="left"/>
        <w:rPr>
          <w:rFonts w:hint="eastAsia" w:ascii="宋体" w:hAnsi="宋体" w:cs="宋体"/>
          <w:b w:val="0"/>
          <w:bCs w:val="0"/>
          <w:color w:val="auto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pacing w:val="0"/>
          <w:sz w:val="24"/>
          <w:szCs w:val="24"/>
          <w:lang w:val="en-US" w:eastAsia="zh-CN"/>
        </w:rPr>
        <w:t>注：年龄要求初级职称35周岁及以下，中级职称40周岁及以下，高级职称45周岁及以下。现职三甲医院、具备博士学历者可放宽5岁</w:t>
      </w:r>
      <w:r>
        <w:rPr>
          <w:rFonts w:hint="eastAsia" w:ascii="宋体" w:hAnsi="宋体" w:cs="宋体"/>
          <w:b w:val="0"/>
          <w:bCs w:val="0"/>
          <w:color w:val="auto"/>
          <w:spacing w:val="0"/>
          <w:sz w:val="24"/>
          <w:szCs w:val="24"/>
          <w:lang w:val="en-US" w:eastAsia="zh-CN"/>
        </w:rPr>
        <w:t>。</w:t>
      </w:r>
    </w:p>
    <w:p>
      <w:pPr>
        <w:spacing w:line="280" w:lineRule="exact"/>
        <w:rPr>
          <w:rFonts w:hint="eastAsia" w:ascii="仿宋" w:hAnsi="仿宋" w:eastAsia="仿宋"/>
          <w:color w:val="auto"/>
          <w:sz w:val="30"/>
          <w:szCs w:val="30"/>
        </w:rPr>
      </w:pPr>
    </w:p>
    <w:sectPr>
      <w:headerReference r:id="rId3" w:type="default"/>
      <w:pgSz w:w="16838" w:h="11906" w:orient="landscape"/>
      <w:pgMar w:top="1276" w:right="567" w:bottom="1276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5709"/>
    <w:rsid w:val="000125DB"/>
    <w:rsid w:val="0001308C"/>
    <w:rsid w:val="00016524"/>
    <w:rsid w:val="00022D7D"/>
    <w:rsid w:val="0003187A"/>
    <w:rsid w:val="00034313"/>
    <w:rsid w:val="0003745D"/>
    <w:rsid w:val="00037E5D"/>
    <w:rsid w:val="00056742"/>
    <w:rsid w:val="00057AFC"/>
    <w:rsid w:val="00063835"/>
    <w:rsid w:val="000858DC"/>
    <w:rsid w:val="000927C4"/>
    <w:rsid w:val="00095347"/>
    <w:rsid w:val="000A66E9"/>
    <w:rsid w:val="000C26EC"/>
    <w:rsid w:val="000C62B9"/>
    <w:rsid w:val="000D3DF8"/>
    <w:rsid w:val="000E27C9"/>
    <w:rsid w:val="000E67C6"/>
    <w:rsid w:val="000E6E17"/>
    <w:rsid w:val="00104E44"/>
    <w:rsid w:val="0011248F"/>
    <w:rsid w:val="001153E9"/>
    <w:rsid w:val="00125A91"/>
    <w:rsid w:val="00125EB8"/>
    <w:rsid w:val="001302CC"/>
    <w:rsid w:val="001444ED"/>
    <w:rsid w:val="00157E47"/>
    <w:rsid w:val="00161108"/>
    <w:rsid w:val="00162E4F"/>
    <w:rsid w:val="0017078D"/>
    <w:rsid w:val="00172558"/>
    <w:rsid w:val="00184934"/>
    <w:rsid w:val="001853A1"/>
    <w:rsid w:val="001909AC"/>
    <w:rsid w:val="001A01E7"/>
    <w:rsid w:val="001A2BF5"/>
    <w:rsid w:val="001B358D"/>
    <w:rsid w:val="001C2056"/>
    <w:rsid w:val="001C3ED8"/>
    <w:rsid w:val="001C586D"/>
    <w:rsid w:val="001C65C6"/>
    <w:rsid w:val="001D1BD8"/>
    <w:rsid w:val="001E0856"/>
    <w:rsid w:val="001F3674"/>
    <w:rsid w:val="002013FA"/>
    <w:rsid w:val="00202A3F"/>
    <w:rsid w:val="00205413"/>
    <w:rsid w:val="00214065"/>
    <w:rsid w:val="002141A0"/>
    <w:rsid w:val="0021442C"/>
    <w:rsid w:val="00217DBD"/>
    <w:rsid w:val="002247DA"/>
    <w:rsid w:val="002324DA"/>
    <w:rsid w:val="002438AE"/>
    <w:rsid w:val="00276DF0"/>
    <w:rsid w:val="00283F46"/>
    <w:rsid w:val="00297BA3"/>
    <w:rsid w:val="002A1E62"/>
    <w:rsid w:val="002A3909"/>
    <w:rsid w:val="002C11B4"/>
    <w:rsid w:val="002C2F18"/>
    <w:rsid w:val="002D55B0"/>
    <w:rsid w:val="002E03EC"/>
    <w:rsid w:val="002E3B34"/>
    <w:rsid w:val="00300F0E"/>
    <w:rsid w:val="00310719"/>
    <w:rsid w:val="00320765"/>
    <w:rsid w:val="00327FBB"/>
    <w:rsid w:val="00334DAE"/>
    <w:rsid w:val="00344AD9"/>
    <w:rsid w:val="00350934"/>
    <w:rsid w:val="0035149A"/>
    <w:rsid w:val="00366009"/>
    <w:rsid w:val="00372E7F"/>
    <w:rsid w:val="003879B6"/>
    <w:rsid w:val="003A0F48"/>
    <w:rsid w:val="003B056E"/>
    <w:rsid w:val="003B29CE"/>
    <w:rsid w:val="003C43FD"/>
    <w:rsid w:val="003C7CDA"/>
    <w:rsid w:val="003D62A4"/>
    <w:rsid w:val="003F13B8"/>
    <w:rsid w:val="004068B7"/>
    <w:rsid w:val="00414B50"/>
    <w:rsid w:val="00421682"/>
    <w:rsid w:val="00425614"/>
    <w:rsid w:val="00430D05"/>
    <w:rsid w:val="00436E2E"/>
    <w:rsid w:val="00445611"/>
    <w:rsid w:val="004501FC"/>
    <w:rsid w:val="00453139"/>
    <w:rsid w:val="00454DBF"/>
    <w:rsid w:val="00471E09"/>
    <w:rsid w:val="00475295"/>
    <w:rsid w:val="004834CB"/>
    <w:rsid w:val="0049122D"/>
    <w:rsid w:val="004919B2"/>
    <w:rsid w:val="0049329F"/>
    <w:rsid w:val="004A0607"/>
    <w:rsid w:val="004C0614"/>
    <w:rsid w:val="004C18AC"/>
    <w:rsid w:val="004D68CB"/>
    <w:rsid w:val="004F139B"/>
    <w:rsid w:val="004F74E4"/>
    <w:rsid w:val="0051045B"/>
    <w:rsid w:val="00511FC2"/>
    <w:rsid w:val="00520A53"/>
    <w:rsid w:val="00524C15"/>
    <w:rsid w:val="005450F9"/>
    <w:rsid w:val="005509BE"/>
    <w:rsid w:val="00557F69"/>
    <w:rsid w:val="005621ED"/>
    <w:rsid w:val="005711D4"/>
    <w:rsid w:val="0057311F"/>
    <w:rsid w:val="0058665E"/>
    <w:rsid w:val="005954E8"/>
    <w:rsid w:val="005A1C59"/>
    <w:rsid w:val="005A21C9"/>
    <w:rsid w:val="005A37AA"/>
    <w:rsid w:val="005A6BB0"/>
    <w:rsid w:val="005C1445"/>
    <w:rsid w:val="005C2715"/>
    <w:rsid w:val="005D0C13"/>
    <w:rsid w:val="005D27EF"/>
    <w:rsid w:val="005D7EE7"/>
    <w:rsid w:val="005F3F9F"/>
    <w:rsid w:val="005F5709"/>
    <w:rsid w:val="00601C94"/>
    <w:rsid w:val="006060F9"/>
    <w:rsid w:val="00606D74"/>
    <w:rsid w:val="00655E4A"/>
    <w:rsid w:val="00656C5B"/>
    <w:rsid w:val="00661DD6"/>
    <w:rsid w:val="00663012"/>
    <w:rsid w:val="00663BA6"/>
    <w:rsid w:val="00664E45"/>
    <w:rsid w:val="00692612"/>
    <w:rsid w:val="006A7585"/>
    <w:rsid w:val="006B41BB"/>
    <w:rsid w:val="006B4E59"/>
    <w:rsid w:val="006B76AE"/>
    <w:rsid w:val="006C4B90"/>
    <w:rsid w:val="006D0E4F"/>
    <w:rsid w:val="006D1904"/>
    <w:rsid w:val="006D443B"/>
    <w:rsid w:val="006E72C7"/>
    <w:rsid w:val="006F1DDF"/>
    <w:rsid w:val="00712EE8"/>
    <w:rsid w:val="00753CF9"/>
    <w:rsid w:val="00755FD7"/>
    <w:rsid w:val="007571C3"/>
    <w:rsid w:val="00772229"/>
    <w:rsid w:val="00772305"/>
    <w:rsid w:val="00775320"/>
    <w:rsid w:val="00793B5A"/>
    <w:rsid w:val="007A6B34"/>
    <w:rsid w:val="007B7F43"/>
    <w:rsid w:val="007D3364"/>
    <w:rsid w:val="007E59FC"/>
    <w:rsid w:val="007F0AF8"/>
    <w:rsid w:val="007F2C42"/>
    <w:rsid w:val="007F3E25"/>
    <w:rsid w:val="007F46F4"/>
    <w:rsid w:val="00812DAA"/>
    <w:rsid w:val="00816BCE"/>
    <w:rsid w:val="008235B2"/>
    <w:rsid w:val="00823DDA"/>
    <w:rsid w:val="00831259"/>
    <w:rsid w:val="00841FE8"/>
    <w:rsid w:val="008460A4"/>
    <w:rsid w:val="00852924"/>
    <w:rsid w:val="00852E5D"/>
    <w:rsid w:val="0086673E"/>
    <w:rsid w:val="00871B04"/>
    <w:rsid w:val="00884EEE"/>
    <w:rsid w:val="00885BE1"/>
    <w:rsid w:val="00890532"/>
    <w:rsid w:val="00896F05"/>
    <w:rsid w:val="008A293B"/>
    <w:rsid w:val="008A2AF1"/>
    <w:rsid w:val="008A4334"/>
    <w:rsid w:val="008B1AB1"/>
    <w:rsid w:val="008B5ADE"/>
    <w:rsid w:val="008B5D91"/>
    <w:rsid w:val="008B690E"/>
    <w:rsid w:val="008B7A91"/>
    <w:rsid w:val="008C4F7B"/>
    <w:rsid w:val="008D2023"/>
    <w:rsid w:val="008E3D0D"/>
    <w:rsid w:val="008F4CF9"/>
    <w:rsid w:val="009028C2"/>
    <w:rsid w:val="00916A82"/>
    <w:rsid w:val="00916E16"/>
    <w:rsid w:val="00924D1A"/>
    <w:rsid w:val="00930892"/>
    <w:rsid w:val="00942615"/>
    <w:rsid w:val="0096493D"/>
    <w:rsid w:val="00974BF6"/>
    <w:rsid w:val="00974CD8"/>
    <w:rsid w:val="0098118F"/>
    <w:rsid w:val="00991058"/>
    <w:rsid w:val="0099497C"/>
    <w:rsid w:val="00997B80"/>
    <w:rsid w:val="009B1349"/>
    <w:rsid w:val="009B6B9A"/>
    <w:rsid w:val="009D280F"/>
    <w:rsid w:val="009D59DC"/>
    <w:rsid w:val="009E2F76"/>
    <w:rsid w:val="009E5567"/>
    <w:rsid w:val="009F5754"/>
    <w:rsid w:val="009F6FFC"/>
    <w:rsid w:val="00A052E9"/>
    <w:rsid w:val="00A25DAF"/>
    <w:rsid w:val="00A52C3B"/>
    <w:rsid w:val="00A60916"/>
    <w:rsid w:val="00A6613C"/>
    <w:rsid w:val="00A66306"/>
    <w:rsid w:val="00A722FA"/>
    <w:rsid w:val="00A778A5"/>
    <w:rsid w:val="00AA29A9"/>
    <w:rsid w:val="00AB16A7"/>
    <w:rsid w:val="00AB310E"/>
    <w:rsid w:val="00AB4CC3"/>
    <w:rsid w:val="00AB677F"/>
    <w:rsid w:val="00AB71C0"/>
    <w:rsid w:val="00AC2772"/>
    <w:rsid w:val="00AC6007"/>
    <w:rsid w:val="00AD09C5"/>
    <w:rsid w:val="00AE2E1B"/>
    <w:rsid w:val="00AE2F47"/>
    <w:rsid w:val="00AF2E4A"/>
    <w:rsid w:val="00B0025C"/>
    <w:rsid w:val="00B04F22"/>
    <w:rsid w:val="00B073ED"/>
    <w:rsid w:val="00B119C7"/>
    <w:rsid w:val="00B16ED5"/>
    <w:rsid w:val="00B22091"/>
    <w:rsid w:val="00B2292F"/>
    <w:rsid w:val="00B30201"/>
    <w:rsid w:val="00B320D4"/>
    <w:rsid w:val="00B32B13"/>
    <w:rsid w:val="00B34523"/>
    <w:rsid w:val="00B44052"/>
    <w:rsid w:val="00B52AB2"/>
    <w:rsid w:val="00B74AE8"/>
    <w:rsid w:val="00B75B73"/>
    <w:rsid w:val="00B815A0"/>
    <w:rsid w:val="00B81ABF"/>
    <w:rsid w:val="00B835A0"/>
    <w:rsid w:val="00B904C9"/>
    <w:rsid w:val="00B94642"/>
    <w:rsid w:val="00B94A5B"/>
    <w:rsid w:val="00B96BB6"/>
    <w:rsid w:val="00BA086B"/>
    <w:rsid w:val="00BB3CD4"/>
    <w:rsid w:val="00BC0B9A"/>
    <w:rsid w:val="00BC1F1E"/>
    <w:rsid w:val="00BC68C9"/>
    <w:rsid w:val="00BE114B"/>
    <w:rsid w:val="00BE745C"/>
    <w:rsid w:val="00BF489E"/>
    <w:rsid w:val="00BF6110"/>
    <w:rsid w:val="00C018CC"/>
    <w:rsid w:val="00C0776E"/>
    <w:rsid w:val="00C1602A"/>
    <w:rsid w:val="00C22CF7"/>
    <w:rsid w:val="00C23092"/>
    <w:rsid w:val="00C55A49"/>
    <w:rsid w:val="00C55DBA"/>
    <w:rsid w:val="00C82F16"/>
    <w:rsid w:val="00C83AAF"/>
    <w:rsid w:val="00C85C94"/>
    <w:rsid w:val="00C865E1"/>
    <w:rsid w:val="00C93D1E"/>
    <w:rsid w:val="00C97A90"/>
    <w:rsid w:val="00CA0807"/>
    <w:rsid w:val="00CA0D60"/>
    <w:rsid w:val="00CA79B8"/>
    <w:rsid w:val="00CB7CE9"/>
    <w:rsid w:val="00CC3B4D"/>
    <w:rsid w:val="00CC78B8"/>
    <w:rsid w:val="00CD26CE"/>
    <w:rsid w:val="00CE43D1"/>
    <w:rsid w:val="00CE48C0"/>
    <w:rsid w:val="00CE59EA"/>
    <w:rsid w:val="00D150DF"/>
    <w:rsid w:val="00D221C0"/>
    <w:rsid w:val="00D22D38"/>
    <w:rsid w:val="00D24485"/>
    <w:rsid w:val="00D253D4"/>
    <w:rsid w:val="00D25F1A"/>
    <w:rsid w:val="00D27BD2"/>
    <w:rsid w:val="00D36AC3"/>
    <w:rsid w:val="00D428AF"/>
    <w:rsid w:val="00D50BD3"/>
    <w:rsid w:val="00D61CC6"/>
    <w:rsid w:val="00D66AF7"/>
    <w:rsid w:val="00D66FF7"/>
    <w:rsid w:val="00D76EB9"/>
    <w:rsid w:val="00D81434"/>
    <w:rsid w:val="00D860A4"/>
    <w:rsid w:val="00D907F3"/>
    <w:rsid w:val="00D9318D"/>
    <w:rsid w:val="00DA30A0"/>
    <w:rsid w:val="00DA4A60"/>
    <w:rsid w:val="00DA78BC"/>
    <w:rsid w:val="00DB68D3"/>
    <w:rsid w:val="00DB7EC5"/>
    <w:rsid w:val="00DC3A19"/>
    <w:rsid w:val="00DD6B66"/>
    <w:rsid w:val="00E06093"/>
    <w:rsid w:val="00E10A1D"/>
    <w:rsid w:val="00E11BB8"/>
    <w:rsid w:val="00E14D48"/>
    <w:rsid w:val="00E2411B"/>
    <w:rsid w:val="00E4682E"/>
    <w:rsid w:val="00E46E39"/>
    <w:rsid w:val="00E65398"/>
    <w:rsid w:val="00E66438"/>
    <w:rsid w:val="00E66F4B"/>
    <w:rsid w:val="00E708FD"/>
    <w:rsid w:val="00E95DA9"/>
    <w:rsid w:val="00E97385"/>
    <w:rsid w:val="00EC6537"/>
    <w:rsid w:val="00EC6C1E"/>
    <w:rsid w:val="00ED023D"/>
    <w:rsid w:val="00ED7D85"/>
    <w:rsid w:val="00EE1D40"/>
    <w:rsid w:val="00EE70A9"/>
    <w:rsid w:val="00EF1164"/>
    <w:rsid w:val="00EF70E1"/>
    <w:rsid w:val="00F00E7F"/>
    <w:rsid w:val="00F02A02"/>
    <w:rsid w:val="00F05964"/>
    <w:rsid w:val="00F218A2"/>
    <w:rsid w:val="00F3496F"/>
    <w:rsid w:val="00F37768"/>
    <w:rsid w:val="00F403E1"/>
    <w:rsid w:val="00F41E5A"/>
    <w:rsid w:val="00F47F65"/>
    <w:rsid w:val="00F512C3"/>
    <w:rsid w:val="00F53504"/>
    <w:rsid w:val="00F53B98"/>
    <w:rsid w:val="00F54FCC"/>
    <w:rsid w:val="00F92077"/>
    <w:rsid w:val="00FA129C"/>
    <w:rsid w:val="00FB15F3"/>
    <w:rsid w:val="00FB2625"/>
    <w:rsid w:val="00FC6D84"/>
    <w:rsid w:val="00FD1DB9"/>
    <w:rsid w:val="00FD5860"/>
    <w:rsid w:val="00FD79FC"/>
    <w:rsid w:val="00FE13E1"/>
    <w:rsid w:val="00FE3D52"/>
    <w:rsid w:val="00FE5CBC"/>
    <w:rsid w:val="00FF182A"/>
    <w:rsid w:val="00FF2133"/>
    <w:rsid w:val="01547353"/>
    <w:rsid w:val="02895076"/>
    <w:rsid w:val="041C060E"/>
    <w:rsid w:val="0456706D"/>
    <w:rsid w:val="064F37A3"/>
    <w:rsid w:val="07D90D4E"/>
    <w:rsid w:val="0B5A7233"/>
    <w:rsid w:val="0E024E28"/>
    <w:rsid w:val="100E6EEB"/>
    <w:rsid w:val="101E3C0B"/>
    <w:rsid w:val="11243B95"/>
    <w:rsid w:val="14FC30C1"/>
    <w:rsid w:val="15AF1839"/>
    <w:rsid w:val="17312B5B"/>
    <w:rsid w:val="1BD366BB"/>
    <w:rsid w:val="24460A77"/>
    <w:rsid w:val="24D22874"/>
    <w:rsid w:val="258A04DF"/>
    <w:rsid w:val="262661E2"/>
    <w:rsid w:val="2AF652AC"/>
    <w:rsid w:val="2D421229"/>
    <w:rsid w:val="2E5261D3"/>
    <w:rsid w:val="32495F42"/>
    <w:rsid w:val="32DF629F"/>
    <w:rsid w:val="33064D1E"/>
    <w:rsid w:val="351907E7"/>
    <w:rsid w:val="39C404D1"/>
    <w:rsid w:val="3A807E30"/>
    <w:rsid w:val="3B183573"/>
    <w:rsid w:val="3C4043C7"/>
    <w:rsid w:val="3C470CA2"/>
    <w:rsid w:val="3D324F0F"/>
    <w:rsid w:val="3D5953AF"/>
    <w:rsid w:val="419438B7"/>
    <w:rsid w:val="44191691"/>
    <w:rsid w:val="44BF3EA2"/>
    <w:rsid w:val="479A461C"/>
    <w:rsid w:val="48D4699A"/>
    <w:rsid w:val="4DFF1652"/>
    <w:rsid w:val="51B05671"/>
    <w:rsid w:val="54151003"/>
    <w:rsid w:val="562172D5"/>
    <w:rsid w:val="5AD41BA5"/>
    <w:rsid w:val="5B1550FF"/>
    <w:rsid w:val="61787CD1"/>
    <w:rsid w:val="6437409C"/>
    <w:rsid w:val="67A70386"/>
    <w:rsid w:val="68C95BD2"/>
    <w:rsid w:val="698420DC"/>
    <w:rsid w:val="69C96481"/>
    <w:rsid w:val="6C9F0865"/>
    <w:rsid w:val="6D1B1CF7"/>
    <w:rsid w:val="6FE74041"/>
    <w:rsid w:val="72FD7726"/>
    <w:rsid w:val="74CC721B"/>
    <w:rsid w:val="77F50987"/>
    <w:rsid w:val="7A1D6A0A"/>
    <w:rsid w:val="7CFF27C4"/>
    <w:rsid w:val="7F1664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11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Lines="0" w:afterAutospacing="0"/>
    </w:pPr>
    <w:rPr>
      <w:rFonts w:ascii="Times New Roman" w:hAnsi="Times New Roman"/>
    </w:rPr>
  </w:style>
  <w:style w:type="paragraph" w:styleId="3">
    <w:name w:val="Title"/>
    <w:basedOn w:val="1"/>
    <w:next w:val="4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  <w:style w:type="paragraph" w:styleId="5">
    <w:name w:val="Balloon Text"/>
    <w:basedOn w:val="1"/>
    <w:link w:val="15"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spacing w:line="360" w:lineRule="auto"/>
      <w:ind w:firstLine="420" w:firstLineChars="200"/>
    </w:pPr>
    <w:rPr>
      <w:szCs w:val="20"/>
    </w:rPr>
  </w:style>
  <w:style w:type="character" w:styleId="10">
    <w:name w:val="Hyperlink"/>
    <w:qFormat/>
    <w:uiPriority w:val="0"/>
    <w:rPr>
      <w:color w:val="0000FF"/>
      <w:u w:val="single"/>
    </w:rPr>
  </w:style>
  <w:style w:type="table" w:styleId="12">
    <w:name w:val="Table Grid"/>
    <w:basedOn w:val="11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3">
    <w:name w:val="页眉 Char"/>
    <w:link w:val="7"/>
    <w:qFormat/>
    <w:uiPriority w:val="0"/>
    <w:rPr>
      <w:kern w:val="2"/>
      <w:sz w:val="18"/>
      <w:szCs w:val="18"/>
    </w:rPr>
  </w:style>
  <w:style w:type="character" w:customStyle="1" w:styleId="14">
    <w:name w:val="页脚 Char"/>
    <w:link w:val="6"/>
    <w:qFormat/>
    <w:uiPriority w:val="0"/>
    <w:rPr>
      <w:kern w:val="2"/>
      <w:sz w:val="18"/>
      <w:szCs w:val="18"/>
    </w:rPr>
  </w:style>
  <w:style w:type="character" w:customStyle="1" w:styleId="15">
    <w:name w:val="批注框文本 Char"/>
    <w:link w:val="5"/>
    <w:qFormat/>
    <w:uiPriority w:val="0"/>
    <w:rPr>
      <w:kern w:val="2"/>
      <w:sz w:val="18"/>
      <w:szCs w:val="18"/>
    </w:rPr>
  </w:style>
  <w:style w:type="paragraph" w:customStyle="1" w:styleId="16">
    <w:name w:val="_Style 3"/>
    <w:basedOn w:val="17"/>
    <w:next w:val="8"/>
    <w:qFormat/>
    <w:uiPriority w:val="0"/>
    <w:rPr>
      <w:szCs w:val="22"/>
    </w:rPr>
  </w:style>
  <w:style w:type="paragraph" w:customStyle="1" w:styleId="17">
    <w:name w:val="正文_0"/>
    <w:next w:val="18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customStyle="1" w:styleId="18">
    <w:name w:val="正文文本_0"/>
    <w:basedOn w:val="17"/>
    <w:qFormat/>
    <w:uiPriority w:val="0"/>
    <w:pPr>
      <w:spacing w:after="120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11</Pages>
  <Words>1042</Words>
  <Characters>5940</Characters>
  <Lines>49</Lines>
  <Paragraphs>13</Paragraphs>
  <TotalTime>3</TotalTime>
  <ScaleCrop>false</ScaleCrop>
  <LinksUpToDate>false</LinksUpToDate>
  <CharactersWithSpaces>6969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2021-10-20T02:46:00Z</dcterms:created>
  <dc:creator>廖瑜鑫</dc:creator>
  <cp:lastModifiedBy>wonderful</cp:lastModifiedBy>
  <cp:lastPrinted>2022-06-20T06:54:00Z</cp:lastPrinted>
  <dcterms:modified xsi:type="dcterms:W3CDTF">2022-06-20T07:01:09Z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