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numPr>
          <w:ilvl w:val="0"/>
          <w:numId w:val="1"/>
        </w:numPr>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600" w:lineRule="exact"/>
        <w:ind w:left="0" w:right="0" w:hanging="360"/>
        <w:jc w:val="left"/>
        <w:rPr>
          <w:rFonts w:hint="eastAsia" w:ascii="黑体" w:hAnsi="黑体" w:eastAsia="黑体" w:cs="黑体"/>
          <w:color w:val="auto"/>
          <w:sz w:val="32"/>
          <w:szCs w:val="32"/>
          <w:highlight w:val="none"/>
        </w:rPr>
      </w:pPr>
      <w:r>
        <w:rPr>
          <w:rFonts w:hint="eastAsia" w:ascii="黑体" w:hAnsi="黑体" w:eastAsia="黑体" w:cs="黑体"/>
          <w:color w:val="auto"/>
          <w:sz w:val="32"/>
          <w:szCs w:val="32"/>
          <w:highlight w:val="none"/>
          <w:lang w:eastAsia="zh-CN"/>
        </w:rPr>
        <w:t>附件</w:t>
      </w:r>
      <w:r>
        <w:rPr>
          <w:rFonts w:hint="eastAsia" w:ascii="黑体" w:hAnsi="黑体" w:eastAsia="黑体" w:cs="黑体"/>
          <w:color w:val="auto"/>
          <w:sz w:val="32"/>
          <w:szCs w:val="32"/>
          <w:highlight w:val="none"/>
          <w:lang w:val="en-US" w:eastAsia="zh-CN"/>
        </w:rPr>
        <w:t>4：</w:t>
      </w:r>
    </w:p>
    <w:p>
      <w:pPr>
        <w:keepNext w:val="0"/>
        <w:keepLines w:val="0"/>
        <w:pageBreakBefore w:val="0"/>
        <w:widowControl/>
        <w:kinsoku/>
        <w:wordWrap/>
        <w:overflowPunct/>
        <w:topLinePunct w:val="0"/>
        <w:autoSpaceDE/>
        <w:autoSpaceDN/>
        <w:bidi w:val="0"/>
        <w:adjustRightInd/>
        <w:snapToGrid/>
        <w:spacing w:line="600" w:lineRule="exact"/>
        <w:ind w:firstLine="482"/>
        <w:jc w:val="center"/>
        <w:rPr>
          <w:rFonts w:hint="eastAsia" w:ascii="方正小标宋简体" w:hAnsi="方正小标宋简体" w:eastAsia="方正小标宋简体" w:cs="方正小标宋简体"/>
          <w:kern w:val="0"/>
          <w:sz w:val="44"/>
          <w:szCs w:val="44"/>
          <w:highlight w:val="none"/>
        </w:rPr>
      </w:pPr>
      <w:r>
        <w:rPr>
          <w:rFonts w:hint="eastAsia" w:ascii="方正小标宋简体" w:hAnsi="方正小标宋简体" w:eastAsia="方正小标宋简体" w:cs="方正小标宋简体"/>
          <w:kern w:val="0"/>
          <w:sz w:val="44"/>
          <w:szCs w:val="44"/>
          <w:highlight w:val="none"/>
        </w:rPr>
        <w:t>2022年新余市公开招聘硕士研究生卫生专业技术人员疫情防控告知书</w:t>
      </w:r>
    </w:p>
    <w:p>
      <w:pPr>
        <w:keepNext w:val="0"/>
        <w:keepLines w:val="0"/>
        <w:pageBreakBefore w:val="0"/>
        <w:widowControl/>
        <w:kinsoku/>
        <w:wordWrap/>
        <w:overflowPunct/>
        <w:topLinePunct w:val="0"/>
        <w:autoSpaceDE/>
        <w:autoSpaceDN/>
        <w:bidi w:val="0"/>
        <w:adjustRightInd/>
        <w:snapToGrid/>
        <w:spacing w:line="600" w:lineRule="exact"/>
        <w:ind w:firstLine="482"/>
        <w:rPr>
          <w:rFonts w:hint="eastAsia" w:ascii="仿宋_GB2312" w:hAnsi="仿宋_GB2312" w:eastAsia="仿宋_GB2312" w:cs="仿宋_GB2312"/>
          <w:kern w:val="0"/>
          <w:sz w:val="32"/>
          <w:szCs w:val="32"/>
          <w:highlight w:val="none"/>
        </w:rPr>
      </w:pPr>
    </w:p>
    <w:p>
      <w:pPr>
        <w:keepNext w:val="0"/>
        <w:keepLines w:val="0"/>
        <w:pageBreakBefore w:val="0"/>
        <w:widowControl/>
        <w:kinsoku/>
        <w:wordWrap/>
        <w:overflowPunct/>
        <w:topLinePunct w:val="0"/>
        <w:autoSpaceDE/>
        <w:autoSpaceDN/>
        <w:bidi w:val="0"/>
        <w:adjustRightInd/>
        <w:snapToGrid/>
        <w:spacing w:line="600" w:lineRule="exact"/>
        <w:ind w:firstLine="482"/>
        <w:rPr>
          <w:rFonts w:hint="eastAsia" w:ascii="仿宋_GB2312" w:hAnsi="仿宋_GB2312" w:eastAsia="仿宋_GB2312" w:cs="仿宋_GB2312"/>
          <w:kern w:val="0"/>
          <w:sz w:val="32"/>
          <w:szCs w:val="32"/>
          <w:highlight w:val="none"/>
        </w:rPr>
      </w:pPr>
      <w:r>
        <w:rPr>
          <w:rFonts w:hint="eastAsia" w:ascii="仿宋_GB2312" w:hAnsi="仿宋_GB2312" w:eastAsia="仿宋_GB2312" w:cs="仿宋_GB2312"/>
          <w:kern w:val="0"/>
          <w:sz w:val="32"/>
          <w:szCs w:val="32"/>
          <w:highlight w:val="none"/>
        </w:rPr>
        <w:t>为切实保障广大考生和考务工作人员生命安全和身体健康,根据疫情防控形势,</w:t>
      </w:r>
      <w:r>
        <w:rPr>
          <w:rFonts w:hint="eastAsia" w:ascii="仿宋_GB2312" w:hAnsi="仿宋_GB2312" w:eastAsia="仿宋_GB2312" w:cs="仿宋_GB2312"/>
          <w:kern w:val="0"/>
          <w:sz w:val="32"/>
          <w:szCs w:val="32"/>
          <w:highlight w:val="none"/>
        </w:rPr>
        <w:t>现</w:t>
      </w:r>
      <w:r>
        <w:rPr>
          <w:rFonts w:hint="eastAsia" w:ascii="仿宋_GB2312" w:hAnsi="仿宋_GB2312" w:eastAsia="仿宋_GB2312" w:cs="仿宋_GB2312"/>
          <w:kern w:val="0"/>
          <w:sz w:val="32"/>
          <w:szCs w:val="32"/>
          <w:highlight w:val="none"/>
          <w:lang w:eastAsia="zh-CN"/>
        </w:rPr>
        <w:t>将</w:t>
      </w:r>
      <w:r>
        <w:rPr>
          <w:rFonts w:hint="eastAsia" w:ascii="仿宋_GB2312" w:hAnsi="仿宋_GB2312" w:eastAsia="仿宋_GB2312" w:cs="仿宋_GB2312"/>
          <w:kern w:val="0"/>
          <w:sz w:val="32"/>
          <w:szCs w:val="32"/>
          <w:highlight w:val="none"/>
        </w:rPr>
        <w:t>新余市2022年硕士研究生卫生专业技术人员公开招聘疫情防控告知如下</w:t>
      </w:r>
      <w:r>
        <w:rPr>
          <w:rFonts w:hint="eastAsia" w:ascii="仿宋_GB2312" w:hAnsi="仿宋_GB2312" w:eastAsia="仿宋_GB2312" w:cs="仿宋_GB2312"/>
          <w:kern w:val="0"/>
          <w:sz w:val="32"/>
          <w:szCs w:val="32"/>
          <w:highlight w:val="none"/>
        </w:rPr>
        <w:t>,请所有考生务必充分知晓理解并严格执行。</w:t>
      </w:r>
    </w:p>
    <w:p>
      <w:pPr>
        <w:keepNext w:val="0"/>
        <w:keepLines w:val="0"/>
        <w:pageBreakBefore w:val="0"/>
        <w:widowControl/>
        <w:kinsoku/>
        <w:wordWrap/>
        <w:overflowPunct/>
        <w:topLinePunct w:val="0"/>
        <w:autoSpaceDE/>
        <w:autoSpaceDN/>
        <w:bidi w:val="0"/>
        <w:adjustRightInd/>
        <w:snapToGrid/>
        <w:spacing w:line="600" w:lineRule="exact"/>
        <w:ind w:firstLine="482"/>
        <w:rPr>
          <w:rFonts w:hint="eastAsia" w:ascii="黑体" w:hAnsi="黑体" w:eastAsia="黑体" w:cs="黑体"/>
          <w:kern w:val="0"/>
          <w:sz w:val="32"/>
          <w:szCs w:val="32"/>
          <w:highlight w:val="none"/>
        </w:rPr>
      </w:pPr>
      <w:r>
        <w:rPr>
          <w:rFonts w:hint="eastAsia" w:ascii="黑体" w:hAnsi="黑体" w:eastAsia="黑体" w:cs="黑体"/>
          <w:kern w:val="0"/>
          <w:sz w:val="32"/>
          <w:szCs w:val="32"/>
          <w:highlight w:val="none"/>
        </w:rPr>
        <w:t>一、疫情防控要求</w:t>
      </w:r>
    </w:p>
    <w:p>
      <w:pPr>
        <w:keepNext w:val="0"/>
        <w:keepLines w:val="0"/>
        <w:pageBreakBefore w:val="0"/>
        <w:widowControl/>
        <w:kinsoku/>
        <w:wordWrap/>
        <w:overflowPunct/>
        <w:topLinePunct w:val="0"/>
        <w:autoSpaceDE/>
        <w:autoSpaceDN/>
        <w:bidi w:val="0"/>
        <w:adjustRightInd/>
        <w:snapToGrid/>
        <w:spacing w:line="600" w:lineRule="exact"/>
        <w:ind w:firstLine="482"/>
        <w:rPr>
          <w:rFonts w:hint="eastAsia" w:ascii="仿宋_GB2312" w:hAnsi="仿宋_GB2312" w:eastAsia="仿宋_GB2312" w:cs="仿宋_GB2312"/>
          <w:kern w:val="0"/>
          <w:sz w:val="32"/>
          <w:szCs w:val="32"/>
          <w:highlight w:val="none"/>
        </w:rPr>
      </w:pPr>
      <w:r>
        <w:rPr>
          <w:rFonts w:hint="eastAsia" w:ascii="仿宋_GB2312" w:hAnsi="仿宋_GB2312" w:eastAsia="仿宋_GB2312" w:cs="仿宋_GB2312"/>
          <w:kern w:val="0"/>
          <w:sz w:val="32"/>
          <w:szCs w:val="32"/>
          <w:highlight w:val="none"/>
        </w:rPr>
        <w:t>1.考</w:t>
      </w:r>
      <w:r>
        <w:rPr>
          <w:rFonts w:hint="eastAsia" w:ascii="仿宋_GB2312" w:hAnsi="仿宋_GB2312" w:eastAsia="仿宋_GB2312" w:cs="仿宋_GB2312"/>
          <w:kern w:val="0"/>
          <w:sz w:val="32"/>
          <w:szCs w:val="32"/>
          <w:highlight w:val="none"/>
        </w:rPr>
        <w:t>前</w:t>
      </w:r>
      <w:r>
        <w:rPr>
          <w:rFonts w:hint="eastAsia" w:ascii="仿宋_GB2312" w:hAnsi="仿宋_GB2312" w:eastAsia="仿宋_GB2312" w:cs="仿宋_GB2312"/>
          <w:kern w:val="0"/>
          <w:sz w:val="32"/>
          <w:szCs w:val="32"/>
          <w:highlight w:val="none"/>
          <w:lang w:val="en-US" w:eastAsia="zh-CN"/>
        </w:rPr>
        <w:t>12</w:t>
      </w:r>
      <w:r>
        <w:rPr>
          <w:rFonts w:hint="eastAsia" w:ascii="仿宋_GB2312" w:hAnsi="仿宋_GB2312" w:eastAsia="仿宋_GB2312" w:cs="仿宋_GB2312"/>
          <w:kern w:val="0"/>
          <w:sz w:val="32"/>
          <w:szCs w:val="32"/>
          <w:highlight w:val="none"/>
        </w:rPr>
        <w:t>天起</w:t>
      </w:r>
      <w:r>
        <w:rPr>
          <w:rFonts w:hint="eastAsia" w:ascii="仿宋_GB2312" w:hAnsi="仿宋_GB2312" w:eastAsia="仿宋_GB2312" w:cs="仿宋_GB2312"/>
          <w:kern w:val="0"/>
          <w:sz w:val="32"/>
          <w:szCs w:val="32"/>
          <w:highlight w:val="none"/>
        </w:rPr>
        <w:t>,所有考生每日自行测量体温,做好健康监测,认真阅知、如实填写、郑重签署《考生疫情防控承诺书》(以下简称《承诺书》),于笔试当天带到考点,在身份核验环节将填写完整的《承诺书》交予监考人员,并对《承诺书》真实性负法律责任。</w:t>
      </w:r>
    </w:p>
    <w:p>
      <w:pPr>
        <w:keepNext w:val="0"/>
        <w:keepLines w:val="0"/>
        <w:pageBreakBefore w:val="0"/>
        <w:widowControl/>
        <w:kinsoku/>
        <w:wordWrap/>
        <w:overflowPunct/>
        <w:topLinePunct w:val="0"/>
        <w:autoSpaceDE/>
        <w:autoSpaceDN/>
        <w:bidi w:val="0"/>
        <w:adjustRightInd/>
        <w:snapToGrid/>
        <w:spacing w:line="600" w:lineRule="exact"/>
        <w:ind w:firstLine="482"/>
        <w:rPr>
          <w:rFonts w:hint="eastAsia" w:ascii="仿宋_GB2312" w:hAnsi="仿宋_GB2312" w:eastAsia="仿宋_GB2312" w:cs="仿宋_GB2312"/>
          <w:kern w:val="0"/>
          <w:sz w:val="32"/>
          <w:szCs w:val="32"/>
          <w:highlight w:val="none"/>
        </w:rPr>
      </w:pPr>
      <w:r>
        <w:rPr>
          <w:rFonts w:hint="eastAsia" w:ascii="仿宋_GB2312" w:hAnsi="仿宋_GB2312" w:eastAsia="仿宋_GB2312" w:cs="仿宋_GB2312"/>
          <w:kern w:val="0"/>
          <w:sz w:val="32"/>
          <w:szCs w:val="32"/>
          <w:highlight w:val="none"/>
        </w:rPr>
        <w:t>2.省外和省内其他低风险地区及在余考生,须持考前48小时内(截止准考证上考试开考时间)核酸检测阴性证明方可进入考点。</w:t>
      </w:r>
    </w:p>
    <w:p>
      <w:pPr>
        <w:keepNext w:val="0"/>
        <w:keepLines w:val="0"/>
        <w:pageBreakBefore w:val="0"/>
        <w:widowControl/>
        <w:kinsoku/>
        <w:wordWrap/>
        <w:overflowPunct/>
        <w:topLinePunct w:val="0"/>
        <w:autoSpaceDE/>
        <w:autoSpaceDN/>
        <w:bidi w:val="0"/>
        <w:adjustRightInd/>
        <w:snapToGrid/>
        <w:spacing w:line="600" w:lineRule="exact"/>
        <w:ind w:firstLine="482"/>
        <w:rPr>
          <w:rFonts w:hint="eastAsia" w:ascii="仿宋_GB2312" w:hAnsi="仿宋_GB2312" w:eastAsia="仿宋_GB2312" w:cs="仿宋_GB2312"/>
          <w:kern w:val="0"/>
          <w:sz w:val="32"/>
          <w:szCs w:val="32"/>
          <w:highlight w:val="none"/>
        </w:rPr>
      </w:pPr>
      <w:r>
        <w:rPr>
          <w:rFonts w:hint="eastAsia" w:ascii="仿宋_GB2312" w:hAnsi="仿宋_GB2312" w:eastAsia="仿宋_GB2312" w:cs="仿宋_GB2312"/>
          <w:kern w:val="0"/>
          <w:sz w:val="32"/>
          <w:szCs w:val="32"/>
          <w:highlight w:val="none"/>
        </w:rPr>
        <w:t>3.考生考前</w:t>
      </w:r>
      <w:r>
        <w:rPr>
          <w:rFonts w:hint="eastAsia" w:ascii="仿宋_GB2312" w:hAnsi="仿宋_GB2312" w:eastAsia="仿宋_GB2312" w:cs="仿宋_GB2312"/>
          <w:kern w:val="0"/>
          <w:sz w:val="32"/>
          <w:szCs w:val="32"/>
          <w:highlight w:val="none"/>
          <w:lang w:val="en-US" w:eastAsia="zh-CN"/>
        </w:rPr>
        <w:t>12</w:t>
      </w:r>
      <w:r>
        <w:rPr>
          <w:rFonts w:hint="eastAsia" w:ascii="仿宋_GB2312" w:hAnsi="仿宋_GB2312" w:eastAsia="仿宋_GB2312" w:cs="仿宋_GB2312"/>
          <w:kern w:val="0"/>
          <w:sz w:val="32"/>
          <w:szCs w:val="32"/>
          <w:highlight w:val="none"/>
        </w:rPr>
        <w:t>天,尽量减少跨市流动(在余考生非必要不离余)。在考试前及考试期间不聚餐、不聚会、不扎堆,非必要不外出,避免去人流密集的公共场所和跨区域流动,外出佩戴口罩,保持社交距离,勤洗手,常通风。避免和中高风险地区人员接触,赴考途中应做好个人防护,乘坐公共交通工具须全程佩戴口罩。</w:t>
      </w:r>
    </w:p>
    <w:p>
      <w:pPr>
        <w:keepNext w:val="0"/>
        <w:keepLines w:val="0"/>
        <w:pageBreakBefore w:val="0"/>
        <w:widowControl/>
        <w:kinsoku/>
        <w:wordWrap/>
        <w:overflowPunct/>
        <w:topLinePunct w:val="0"/>
        <w:autoSpaceDE/>
        <w:autoSpaceDN/>
        <w:bidi w:val="0"/>
        <w:adjustRightInd/>
        <w:snapToGrid/>
        <w:spacing w:line="600" w:lineRule="exact"/>
        <w:ind w:firstLine="482"/>
        <w:rPr>
          <w:rFonts w:hint="eastAsia" w:ascii="仿宋_GB2312" w:hAnsi="仿宋_GB2312" w:eastAsia="仿宋_GB2312" w:cs="仿宋_GB2312"/>
          <w:kern w:val="0"/>
          <w:sz w:val="32"/>
          <w:szCs w:val="32"/>
          <w:highlight w:val="none"/>
        </w:rPr>
      </w:pPr>
      <w:r>
        <w:rPr>
          <w:rFonts w:hint="eastAsia" w:ascii="仿宋_GB2312" w:hAnsi="仿宋_GB2312" w:eastAsia="仿宋_GB2312" w:cs="仿宋_GB2312"/>
          <w:kern w:val="0"/>
          <w:sz w:val="32"/>
          <w:szCs w:val="32"/>
          <w:highlight w:val="none"/>
        </w:rPr>
        <w:t>4.考试当日,考生须提前</w:t>
      </w:r>
      <w:r>
        <w:rPr>
          <w:rFonts w:hint="eastAsia" w:ascii="仿宋_GB2312" w:hAnsi="仿宋_GB2312" w:eastAsia="仿宋_GB2312" w:cs="仿宋_GB2312"/>
          <w:kern w:val="0"/>
          <w:sz w:val="32"/>
          <w:szCs w:val="32"/>
          <w:highlight w:val="none"/>
          <w:lang w:val="en-US" w:eastAsia="zh-CN"/>
        </w:rPr>
        <w:t>30</w:t>
      </w:r>
      <w:r>
        <w:rPr>
          <w:rFonts w:hint="eastAsia" w:ascii="仿宋_GB2312" w:hAnsi="仿宋_GB2312" w:eastAsia="仿宋_GB2312" w:cs="仿宋_GB2312"/>
          <w:kern w:val="0"/>
          <w:sz w:val="32"/>
          <w:szCs w:val="32"/>
          <w:highlight w:val="none"/>
        </w:rPr>
        <w:t>分钟</w:t>
      </w:r>
      <w:r>
        <w:rPr>
          <w:rFonts w:hint="eastAsia" w:ascii="仿宋_GB2312" w:hAnsi="仿宋_GB2312" w:eastAsia="仿宋_GB2312" w:cs="仿宋_GB2312"/>
          <w:kern w:val="0"/>
          <w:sz w:val="32"/>
          <w:szCs w:val="32"/>
          <w:highlight w:val="none"/>
        </w:rPr>
        <w:t>到达考点,凭二代居民身份证(或社保卡)、纸质笔试准考证,佩戴一次性医用口罩或医用外科口罩进入考点,自觉接受身份核验。考生入场必须持当日更新的本人“赣通码”和“通信大数据行程卡”绿码,规范提供核酸检测阴性证明(电子版或纸质版均可),扫“场所码”,接受体温检测(不超过37.3℃)。通过检测通道时,应保持人员间隔大于1米,服从现场工作人员管理及防疫安排。</w:t>
      </w:r>
    </w:p>
    <w:p>
      <w:pPr>
        <w:keepNext w:val="0"/>
        <w:keepLines w:val="0"/>
        <w:pageBreakBefore w:val="0"/>
        <w:widowControl/>
        <w:kinsoku/>
        <w:wordWrap/>
        <w:overflowPunct/>
        <w:topLinePunct w:val="0"/>
        <w:autoSpaceDE/>
        <w:autoSpaceDN/>
        <w:bidi w:val="0"/>
        <w:adjustRightInd/>
        <w:snapToGrid/>
        <w:spacing w:line="600" w:lineRule="exact"/>
        <w:ind w:firstLine="482"/>
        <w:rPr>
          <w:rFonts w:hint="eastAsia" w:ascii="仿宋_GB2312" w:hAnsi="仿宋_GB2312" w:eastAsia="仿宋_GB2312" w:cs="仿宋_GB2312"/>
          <w:kern w:val="0"/>
          <w:sz w:val="32"/>
          <w:szCs w:val="32"/>
          <w:highlight w:val="none"/>
          <w:lang w:eastAsia="zh-CN"/>
        </w:rPr>
      </w:pPr>
      <w:r>
        <w:rPr>
          <w:rFonts w:hint="eastAsia" w:ascii="仿宋_GB2312" w:hAnsi="仿宋_GB2312" w:eastAsia="仿宋_GB2312" w:cs="仿宋_GB2312"/>
          <w:kern w:val="0"/>
          <w:sz w:val="32"/>
          <w:szCs w:val="32"/>
          <w:highlight w:val="none"/>
        </w:rPr>
        <w:t>5.除进入考场核验身份</w:t>
      </w:r>
      <w:r>
        <w:rPr>
          <w:rFonts w:hint="eastAsia" w:ascii="仿宋_GB2312" w:hAnsi="仿宋_GB2312" w:eastAsia="仿宋_GB2312" w:cs="仿宋_GB2312"/>
          <w:kern w:val="0"/>
          <w:sz w:val="32"/>
          <w:szCs w:val="32"/>
          <w:highlight w:val="none"/>
          <w:lang w:eastAsia="zh-CN"/>
        </w:rPr>
        <w:t>和面试过程中</w:t>
      </w:r>
      <w:r>
        <w:rPr>
          <w:rFonts w:hint="eastAsia" w:ascii="仿宋_GB2312" w:hAnsi="仿宋_GB2312" w:eastAsia="仿宋_GB2312" w:cs="仿宋_GB2312"/>
          <w:kern w:val="0"/>
          <w:sz w:val="32"/>
          <w:szCs w:val="32"/>
          <w:highlight w:val="none"/>
        </w:rPr>
        <w:t>须按要求摘口罩外,进出考点、考场应当全程佩戴口罩</w:t>
      </w:r>
      <w:r>
        <w:rPr>
          <w:rFonts w:hint="eastAsia" w:ascii="仿宋_GB2312" w:hAnsi="仿宋_GB2312" w:eastAsia="仿宋_GB2312" w:cs="仿宋_GB2312"/>
          <w:kern w:val="0"/>
          <w:sz w:val="32"/>
          <w:szCs w:val="32"/>
          <w:highlight w:val="none"/>
          <w:lang w:eastAsia="zh-CN"/>
        </w:rPr>
        <w:t>。</w:t>
      </w:r>
    </w:p>
    <w:p>
      <w:pPr>
        <w:keepNext w:val="0"/>
        <w:keepLines w:val="0"/>
        <w:pageBreakBefore w:val="0"/>
        <w:widowControl/>
        <w:kinsoku/>
        <w:wordWrap/>
        <w:overflowPunct/>
        <w:topLinePunct w:val="0"/>
        <w:autoSpaceDE/>
        <w:autoSpaceDN/>
        <w:bidi w:val="0"/>
        <w:adjustRightInd/>
        <w:snapToGrid/>
        <w:spacing w:line="600" w:lineRule="exact"/>
        <w:ind w:firstLine="482"/>
        <w:rPr>
          <w:rFonts w:hint="eastAsia" w:ascii="仿宋_GB2312" w:hAnsi="仿宋_GB2312" w:eastAsia="仿宋_GB2312" w:cs="仿宋_GB2312"/>
          <w:kern w:val="0"/>
          <w:sz w:val="32"/>
          <w:szCs w:val="32"/>
          <w:highlight w:val="none"/>
        </w:rPr>
      </w:pPr>
      <w:r>
        <w:rPr>
          <w:rFonts w:hint="eastAsia" w:ascii="仿宋_GB2312" w:hAnsi="仿宋_GB2312" w:eastAsia="仿宋_GB2312" w:cs="仿宋_GB2312"/>
          <w:kern w:val="0"/>
          <w:sz w:val="32"/>
          <w:szCs w:val="32"/>
          <w:highlight w:val="none"/>
        </w:rPr>
        <w:t>6.有以下情况之一者不允许参加考试:</w:t>
      </w:r>
    </w:p>
    <w:p>
      <w:pPr>
        <w:keepNext w:val="0"/>
        <w:keepLines w:val="0"/>
        <w:pageBreakBefore w:val="0"/>
        <w:widowControl/>
        <w:kinsoku/>
        <w:wordWrap/>
        <w:overflowPunct/>
        <w:topLinePunct w:val="0"/>
        <w:autoSpaceDE/>
        <w:autoSpaceDN/>
        <w:bidi w:val="0"/>
        <w:adjustRightInd/>
        <w:snapToGrid/>
        <w:spacing w:line="600" w:lineRule="exact"/>
        <w:ind w:firstLine="482"/>
        <w:rPr>
          <w:rFonts w:hint="eastAsia" w:ascii="仿宋_GB2312" w:hAnsi="仿宋_GB2312" w:eastAsia="仿宋_GB2312" w:cs="仿宋_GB2312"/>
          <w:kern w:val="0"/>
          <w:sz w:val="32"/>
          <w:szCs w:val="32"/>
          <w:highlight w:val="none"/>
        </w:rPr>
      </w:pPr>
      <w:r>
        <w:rPr>
          <w:rFonts w:hint="eastAsia" w:ascii="仿宋_GB2312" w:hAnsi="仿宋_GB2312" w:eastAsia="仿宋_GB2312" w:cs="仿宋_GB2312"/>
          <w:kern w:val="0"/>
          <w:sz w:val="32"/>
          <w:szCs w:val="32"/>
          <w:highlight w:val="none"/>
        </w:rPr>
        <w:t>(1)无准考证、有效参考证件的。</w:t>
      </w:r>
    </w:p>
    <w:p>
      <w:pPr>
        <w:keepNext w:val="0"/>
        <w:keepLines w:val="0"/>
        <w:pageBreakBefore w:val="0"/>
        <w:widowControl/>
        <w:kinsoku/>
        <w:wordWrap/>
        <w:overflowPunct/>
        <w:topLinePunct w:val="0"/>
        <w:autoSpaceDE/>
        <w:autoSpaceDN/>
        <w:bidi w:val="0"/>
        <w:adjustRightInd/>
        <w:snapToGrid/>
        <w:spacing w:line="600" w:lineRule="exact"/>
        <w:ind w:firstLine="482"/>
        <w:rPr>
          <w:rFonts w:hint="eastAsia" w:ascii="仿宋_GB2312" w:hAnsi="仿宋_GB2312" w:eastAsia="仿宋_GB2312" w:cs="仿宋_GB2312"/>
          <w:kern w:val="0"/>
          <w:sz w:val="32"/>
          <w:szCs w:val="32"/>
          <w:highlight w:val="none"/>
        </w:rPr>
      </w:pPr>
      <w:r>
        <w:rPr>
          <w:rFonts w:hint="eastAsia" w:ascii="仿宋_GB2312" w:hAnsi="仿宋_GB2312" w:eastAsia="仿宋_GB2312" w:cs="仿宋_GB2312"/>
          <w:kern w:val="0"/>
          <w:sz w:val="32"/>
          <w:szCs w:val="32"/>
          <w:highlight w:val="none"/>
        </w:rPr>
        <w:t>(2)不能提供“赣通码”和“通信大数据行程卡”绿码,未按要求提供核酸检测阴性报告,未完整填写或无本人签名的《承诺书》的。</w:t>
      </w:r>
    </w:p>
    <w:p>
      <w:pPr>
        <w:keepNext w:val="0"/>
        <w:keepLines w:val="0"/>
        <w:pageBreakBefore w:val="0"/>
        <w:widowControl/>
        <w:kinsoku/>
        <w:wordWrap/>
        <w:overflowPunct/>
        <w:topLinePunct w:val="0"/>
        <w:autoSpaceDE/>
        <w:autoSpaceDN/>
        <w:bidi w:val="0"/>
        <w:adjustRightInd/>
        <w:snapToGrid/>
        <w:spacing w:line="600" w:lineRule="exact"/>
        <w:ind w:firstLine="482"/>
        <w:rPr>
          <w:rFonts w:hint="eastAsia" w:ascii="仿宋_GB2312" w:hAnsi="仿宋_GB2312" w:eastAsia="仿宋_GB2312" w:cs="仿宋_GB2312"/>
          <w:kern w:val="0"/>
          <w:sz w:val="32"/>
          <w:szCs w:val="32"/>
          <w:highlight w:val="none"/>
        </w:rPr>
      </w:pPr>
      <w:r>
        <w:rPr>
          <w:rFonts w:hint="eastAsia" w:ascii="仿宋_GB2312" w:hAnsi="仿宋_GB2312" w:eastAsia="仿宋_GB2312" w:cs="仿宋_GB2312"/>
          <w:kern w:val="0"/>
          <w:sz w:val="32"/>
          <w:szCs w:val="32"/>
          <w:highlight w:val="none"/>
        </w:rPr>
        <w:t>(3)“赣通码”为红码或者黄码的。</w:t>
      </w:r>
    </w:p>
    <w:p>
      <w:pPr>
        <w:keepNext w:val="0"/>
        <w:keepLines w:val="0"/>
        <w:pageBreakBefore w:val="0"/>
        <w:widowControl/>
        <w:kinsoku/>
        <w:wordWrap/>
        <w:overflowPunct/>
        <w:topLinePunct w:val="0"/>
        <w:autoSpaceDE/>
        <w:autoSpaceDN/>
        <w:bidi w:val="0"/>
        <w:adjustRightInd/>
        <w:snapToGrid/>
        <w:spacing w:line="600" w:lineRule="exact"/>
        <w:ind w:firstLine="482"/>
        <w:rPr>
          <w:rFonts w:hint="eastAsia" w:ascii="仿宋_GB2312" w:hAnsi="仿宋_GB2312" w:eastAsia="仿宋_GB2312" w:cs="仿宋_GB2312"/>
          <w:kern w:val="0"/>
          <w:sz w:val="32"/>
          <w:szCs w:val="32"/>
          <w:highlight w:val="none"/>
        </w:rPr>
      </w:pPr>
      <w:r>
        <w:rPr>
          <w:rFonts w:hint="eastAsia" w:ascii="仿宋_GB2312" w:hAnsi="仿宋_GB2312" w:eastAsia="仿宋_GB2312" w:cs="仿宋_GB2312"/>
          <w:kern w:val="0"/>
          <w:sz w:val="32"/>
          <w:szCs w:val="32"/>
          <w:highlight w:val="none"/>
        </w:rPr>
        <w:t>(4)考前21天内有境外(含港澳台)旅居史的;考前14天内有国内中高风险地区旅居史的;考前7天内有国内中高风险地区所在县(市、区)(除中高风险地区)和有本土疫情地区所在县(市、区)旅居史的。</w:t>
      </w:r>
    </w:p>
    <w:p>
      <w:pPr>
        <w:keepNext w:val="0"/>
        <w:keepLines w:val="0"/>
        <w:pageBreakBefore w:val="0"/>
        <w:widowControl/>
        <w:kinsoku/>
        <w:wordWrap/>
        <w:overflowPunct/>
        <w:topLinePunct w:val="0"/>
        <w:autoSpaceDE/>
        <w:autoSpaceDN/>
        <w:bidi w:val="0"/>
        <w:adjustRightInd/>
        <w:snapToGrid/>
        <w:spacing w:line="600" w:lineRule="exact"/>
        <w:ind w:firstLine="482"/>
        <w:rPr>
          <w:rFonts w:hint="eastAsia" w:ascii="仿宋_GB2312" w:hAnsi="仿宋_GB2312" w:eastAsia="仿宋_GB2312" w:cs="仿宋_GB2312"/>
          <w:kern w:val="0"/>
          <w:sz w:val="32"/>
          <w:szCs w:val="32"/>
          <w:highlight w:val="none"/>
        </w:rPr>
      </w:pPr>
      <w:r>
        <w:rPr>
          <w:rFonts w:hint="eastAsia" w:ascii="仿宋_GB2312" w:hAnsi="仿宋_GB2312" w:eastAsia="仿宋_GB2312" w:cs="仿宋_GB2312"/>
          <w:kern w:val="0"/>
          <w:sz w:val="32"/>
          <w:szCs w:val="32"/>
          <w:highlight w:val="none"/>
        </w:rPr>
        <w:t>(5)考前</w:t>
      </w:r>
      <w:r>
        <w:rPr>
          <w:rFonts w:hint="eastAsia" w:ascii="仿宋_GB2312" w:hAnsi="仿宋_GB2312" w:eastAsia="仿宋_GB2312" w:cs="仿宋_GB2312"/>
          <w:kern w:val="0"/>
          <w:sz w:val="32"/>
          <w:szCs w:val="32"/>
          <w:highlight w:val="none"/>
          <w:lang w:val="en-US" w:eastAsia="zh-CN"/>
        </w:rPr>
        <w:t>14</w:t>
      </w:r>
      <w:r>
        <w:rPr>
          <w:rFonts w:hint="eastAsia" w:ascii="仿宋_GB2312" w:hAnsi="仿宋_GB2312" w:eastAsia="仿宋_GB2312" w:cs="仿宋_GB2312"/>
          <w:kern w:val="0"/>
          <w:sz w:val="32"/>
          <w:szCs w:val="32"/>
          <w:highlight w:val="none"/>
        </w:rPr>
        <w:t>天内有与相关病例复阳人员、阳性感染者有轨迹重叠的人员。</w:t>
      </w:r>
    </w:p>
    <w:p>
      <w:pPr>
        <w:keepNext w:val="0"/>
        <w:keepLines w:val="0"/>
        <w:pageBreakBefore w:val="0"/>
        <w:widowControl/>
        <w:kinsoku/>
        <w:wordWrap/>
        <w:overflowPunct/>
        <w:topLinePunct w:val="0"/>
        <w:autoSpaceDE/>
        <w:autoSpaceDN/>
        <w:bidi w:val="0"/>
        <w:adjustRightInd/>
        <w:snapToGrid/>
        <w:spacing w:line="600" w:lineRule="exact"/>
        <w:ind w:firstLine="482"/>
        <w:rPr>
          <w:rFonts w:hint="eastAsia" w:ascii="仿宋_GB2312" w:hAnsi="仿宋_GB2312" w:eastAsia="仿宋_GB2312" w:cs="仿宋_GB2312"/>
          <w:kern w:val="0"/>
          <w:sz w:val="32"/>
          <w:szCs w:val="32"/>
          <w:highlight w:val="none"/>
        </w:rPr>
      </w:pPr>
      <w:r>
        <w:rPr>
          <w:rFonts w:hint="eastAsia" w:ascii="仿宋_GB2312" w:hAnsi="仿宋_GB2312" w:eastAsia="仿宋_GB2312" w:cs="仿宋_GB2312"/>
          <w:kern w:val="0"/>
          <w:sz w:val="32"/>
          <w:szCs w:val="32"/>
          <w:highlight w:val="none"/>
        </w:rPr>
        <w:t>(6)考试前48小时出现发热、乏力、咳嗽、咳痰、咽痛、腹泻、呕吐、嗅觉或味觉减退等症状,且不能排除阳性感染者的。</w:t>
      </w:r>
    </w:p>
    <w:p>
      <w:pPr>
        <w:keepNext w:val="0"/>
        <w:keepLines w:val="0"/>
        <w:pageBreakBefore w:val="0"/>
        <w:widowControl/>
        <w:kinsoku/>
        <w:wordWrap/>
        <w:overflowPunct/>
        <w:topLinePunct w:val="0"/>
        <w:autoSpaceDE/>
        <w:autoSpaceDN/>
        <w:bidi w:val="0"/>
        <w:adjustRightInd/>
        <w:snapToGrid/>
        <w:spacing w:line="600" w:lineRule="exact"/>
        <w:ind w:firstLine="482"/>
        <w:rPr>
          <w:rFonts w:hint="eastAsia" w:ascii="仿宋_GB2312" w:hAnsi="仿宋_GB2312" w:eastAsia="仿宋_GB2312" w:cs="仿宋_GB2312"/>
          <w:kern w:val="0"/>
          <w:sz w:val="32"/>
          <w:szCs w:val="32"/>
          <w:highlight w:val="none"/>
        </w:rPr>
      </w:pPr>
      <w:r>
        <w:rPr>
          <w:rFonts w:hint="eastAsia" w:ascii="仿宋_GB2312" w:hAnsi="仿宋_GB2312" w:eastAsia="仿宋_GB2312" w:cs="仿宋_GB2312"/>
          <w:kern w:val="0"/>
          <w:sz w:val="32"/>
          <w:szCs w:val="32"/>
          <w:highlight w:val="none"/>
        </w:rPr>
        <w:t>(7)进入考点第一次测量体温超过37.3℃的,专人引领至临时医学观察点进行再次测量。仍不合格的,经综合研判评估,不具备考试条件的考生。</w:t>
      </w:r>
    </w:p>
    <w:p>
      <w:pPr>
        <w:keepNext w:val="0"/>
        <w:keepLines w:val="0"/>
        <w:pageBreakBefore w:val="0"/>
        <w:widowControl/>
        <w:kinsoku/>
        <w:wordWrap/>
        <w:overflowPunct/>
        <w:topLinePunct w:val="0"/>
        <w:autoSpaceDE/>
        <w:autoSpaceDN/>
        <w:bidi w:val="0"/>
        <w:adjustRightInd/>
        <w:snapToGrid/>
        <w:spacing w:line="600" w:lineRule="exact"/>
        <w:ind w:firstLine="482"/>
        <w:rPr>
          <w:rFonts w:hint="eastAsia" w:ascii="仿宋_GB2312" w:hAnsi="仿宋_GB2312" w:eastAsia="仿宋_GB2312" w:cs="仿宋_GB2312"/>
          <w:kern w:val="0"/>
          <w:sz w:val="32"/>
          <w:szCs w:val="32"/>
          <w:highlight w:val="none"/>
        </w:rPr>
      </w:pPr>
      <w:r>
        <w:rPr>
          <w:rFonts w:hint="eastAsia" w:ascii="仿宋_GB2312" w:hAnsi="仿宋_GB2312" w:eastAsia="仿宋_GB2312" w:cs="仿宋_GB2312"/>
          <w:kern w:val="0"/>
          <w:sz w:val="32"/>
          <w:szCs w:val="32"/>
          <w:highlight w:val="none"/>
        </w:rPr>
        <w:t>(8)被判定为新冠相关病例(确诊、疑似、无症状)及其密切接触者或次密切接触者的,已治愈出院的确诊病例或已解除集中隔离医学观察的无症状感染者,尚在随访或医学观察期内的。</w:t>
      </w:r>
      <w:bookmarkStart w:id="0" w:name="_GoBack"/>
      <w:bookmarkEnd w:id="0"/>
    </w:p>
    <w:p>
      <w:pPr>
        <w:keepNext w:val="0"/>
        <w:keepLines w:val="0"/>
        <w:pageBreakBefore w:val="0"/>
        <w:widowControl/>
        <w:kinsoku/>
        <w:wordWrap/>
        <w:overflowPunct/>
        <w:topLinePunct w:val="0"/>
        <w:autoSpaceDE/>
        <w:autoSpaceDN/>
        <w:bidi w:val="0"/>
        <w:adjustRightInd/>
        <w:snapToGrid/>
        <w:spacing w:line="600" w:lineRule="exact"/>
        <w:ind w:firstLine="482"/>
        <w:rPr>
          <w:rFonts w:hint="eastAsia" w:ascii="仿宋_GB2312" w:hAnsi="仿宋_GB2312" w:eastAsia="仿宋_GB2312" w:cs="仿宋_GB2312"/>
          <w:kern w:val="0"/>
          <w:sz w:val="32"/>
          <w:szCs w:val="32"/>
          <w:highlight w:val="none"/>
        </w:rPr>
      </w:pPr>
      <w:r>
        <w:rPr>
          <w:rFonts w:hint="eastAsia" w:ascii="仿宋_GB2312" w:hAnsi="仿宋_GB2312" w:eastAsia="仿宋_GB2312" w:cs="仿宋_GB2312"/>
          <w:kern w:val="0"/>
          <w:sz w:val="32"/>
          <w:szCs w:val="32"/>
          <w:highlight w:val="none"/>
        </w:rPr>
        <w:t>(9)经现场专家评估后认为不适合参加考试的。</w:t>
      </w:r>
    </w:p>
    <w:p>
      <w:pPr>
        <w:keepNext w:val="0"/>
        <w:keepLines w:val="0"/>
        <w:pageBreakBefore w:val="0"/>
        <w:widowControl/>
        <w:kinsoku/>
        <w:wordWrap/>
        <w:overflowPunct/>
        <w:topLinePunct w:val="0"/>
        <w:autoSpaceDE/>
        <w:autoSpaceDN/>
        <w:bidi w:val="0"/>
        <w:adjustRightInd/>
        <w:snapToGrid/>
        <w:spacing w:line="600" w:lineRule="exact"/>
        <w:ind w:firstLine="482"/>
        <w:rPr>
          <w:rFonts w:hint="eastAsia" w:ascii="仿宋_GB2312" w:hAnsi="仿宋_GB2312" w:eastAsia="仿宋_GB2312" w:cs="仿宋_GB2312"/>
          <w:kern w:val="0"/>
          <w:sz w:val="32"/>
          <w:szCs w:val="32"/>
          <w:highlight w:val="none"/>
        </w:rPr>
      </w:pPr>
      <w:r>
        <w:rPr>
          <w:rFonts w:hint="eastAsia" w:ascii="仿宋_GB2312" w:hAnsi="仿宋_GB2312" w:eastAsia="仿宋_GB2312" w:cs="仿宋_GB2312"/>
          <w:kern w:val="0"/>
          <w:sz w:val="32"/>
          <w:szCs w:val="32"/>
          <w:highlight w:val="none"/>
        </w:rPr>
        <w:t>存在不得参加考试情形的考生不得前往考点,否则按违反疫情防控要求处理,一切后果由考生自行承担。</w:t>
      </w:r>
    </w:p>
    <w:p>
      <w:pPr>
        <w:keepNext w:val="0"/>
        <w:keepLines w:val="0"/>
        <w:pageBreakBefore w:val="0"/>
        <w:widowControl/>
        <w:kinsoku/>
        <w:wordWrap/>
        <w:overflowPunct/>
        <w:topLinePunct w:val="0"/>
        <w:autoSpaceDE/>
        <w:autoSpaceDN/>
        <w:bidi w:val="0"/>
        <w:adjustRightInd/>
        <w:snapToGrid/>
        <w:spacing w:line="600" w:lineRule="exact"/>
        <w:ind w:firstLine="482"/>
        <w:rPr>
          <w:rFonts w:hint="eastAsia" w:ascii="仿宋_GB2312" w:hAnsi="仿宋_GB2312" w:eastAsia="仿宋_GB2312" w:cs="仿宋_GB2312"/>
          <w:kern w:val="0"/>
          <w:sz w:val="32"/>
          <w:szCs w:val="32"/>
          <w:highlight w:val="none"/>
        </w:rPr>
      </w:pPr>
      <w:r>
        <w:rPr>
          <w:rFonts w:hint="eastAsia" w:ascii="仿宋_GB2312" w:hAnsi="仿宋_GB2312" w:eastAsia="仿宋_GB2312" w:cs="仿宋_GB2312"/>
          <w:kern w:val="0"/>
          <w:sz w:val="32"/>
          <w:szCs w:val="32"/>
          <w:highlight w:val="none"/>
        </w:rPr>
        <w:t>8.“赣通码”为黄码的考生,按要求完成核酸检测后,应尽快通过“赣通码”平台进行申诉,并提交核酸检测证明,以便尽早转为绿码,否则不予参加考试。</w:t>
      </w:r>
    </w:p>
    <w:p>
      <w:pPr>
        <w:keepNext w:val="0"/>
        <w:keepLines w:val="0"/>
        <w:pageBreakBefore w:val="0"/>
        <w:widowControl/>
        <w:kinsoku/>
        <w:wordWrap/>
        <w:overflowPunct/>
        <w:topLinePunct w:val="0"/>
        <w:autoSpaceDE/>
        <w:autoSpaceDN/>
        <w:bidi w:val="0"/>
        <w:adjustRightInd/>
        <w:snapToGrid/>
        <w:spacing w:line="600" w:lineRule="exact"/>
        <w:ind w:firstLine="482"/>
        <w:rPr>
          <w:rFonts w:hint="eastAsia" w:ascii="仿宋_GB2312" w:hAnsi="仿宋_GB2312" w:eastAsia="仿宋_GB2312" w:cs="仿宋_GB2312"/>
          <w:kern w:val="0"/>
          <w:sz w:val="32"/>
          <w:szCs w:val="32"/>
          <w:highlight w:val="none"/>
        </w:rPr>
      </w:pPr>
      <w:r>
        <w:rPr>
          <w:rFonts w:hint="eastAsia" w:ascii="仿宋_GB2312" w:hAnsi="仿宋_GB2312" w:eastAsia="仿宋_GB2312" w:cs="仿宋_GB2312"/>
          <w:kern w:val="0"/>
          <w:sz w:val="32"/>
          <w:szCs w:val="32"/>
          <w:highlight w:val="none"/>
        </w:rPr>
        <w:t>9.考试结束后,考生须听从考点安排保持安全距离,分批、错峰离场。送考人员应服从考点工作人员管理,不得进入考点,不得在考点内滞留。</w:t>
      </w:r>
    </w:p>
    <w:p>
      <w:pPr>
        <w:keepNext w:val="0"/>
        <w:keepLines w:val="0"/>
        <w:pageBreakBefore w:val="0"/>
        <w:widowControl/>
        <w:kinsoku/>
        <w:wordWrap/>
        <w:overflowPunct/>
        <w:topLinePunct w:val="0"/>
        <w:autoSpaceDE/>
        <w:autoSpaceDN/>
        <w:bidi w:val="0"/>
        <w:adjustRightInd/>
        <w:snapToGrid/>
        <w:spacing w:line="600" w:lineRule="exact"/>
        <w:ind w:firstLine="482"/>
        <w:rPr>
          <w:rFonts w:hint="eastAsia" w:ascii="仿宋_GB2312" w:hAnsi="仿宋_GB2312" w:eastAsia="仿宋_GB2312" w:cs="仿宋_GB2312"/>
          <w:kern w:val="0"/>
          <w:sz w:val="32"/>
          <w:szCs w:val="32"/>
          <w:highlight w:val="none"/>
        </w:rPr>
      </w:pPr>
      <w:r>
        <w:rPr>
          <w:rFonts w:hint="eastAsia" w:ascii="仿宋_GB2312" w:hAnsi="仿宋_GB2312" w:eastAsia="仿宋_GB2312" w:cs="仿宋_GB2312"/>
          <w:kern w:val="0"/>
          <w:sz w:val="32"/>
          <w:szCs w:val="32"/>
          <w:highlight w:val="none"/>
        </w:rPr>
        <w:t>10.所有考生应自觉遵守我省及新余市疫情防控规定,自觉遵守考试防疫规定和要求,如实申报本人身体健康状况和旅居史、接触史,如实提供相关涉疫信息资料,如实填写《承诺书》。</w:t>
      </w:r>
    </w:p>
    <w:p>
      <w:pPr>
        <w:keepNext w:val="0"/>
        <w:keepLines w:val="0"/>
        <w:pageBreakBefore w:val="0"/>
        <w:widowControl/>
        <w:kinsoku/>
        <w:wordWrap/>
        <w:overflowPunct/>
        <w:topLinePunct w:val="0"/>
        <w:autoSpaceDE/>
        <w:autoSpaceDN/>
        <w:bidi w:val="0"/>
        <w:adjustRightInd/>
        <w:snapToGrid/>
        <w:spacing w:line="600" w:lineRule="exact"/>
        <w:ind w:firstLine="482"/>
        <w:rPr>
          <w:rFonts w:hint="eastAsia" w:ascii="仿宋_GB2312" w:hAnsi="仿宋_GB2312" w:eastAsia="仿宋_GB2312" w:cs="仿宋_GB2312"/>
          <w:kern w:val="0"/>
          <w:sz w:val="32"/>
          <w:szCs w:val="32"/>
          <w:highlight w:val="none"/>
        </w:rPr>
      </w:pPr>
      <w:r>
        <w:rPr>
          <w:rFonts w:hint="eastAsia" w:ascii="仿宋_GB2312" w:hAnsi="仿宋_GB2312" w:eastAsia="仿宋_GB2312" w:cs="仿宋_GB2312"/>
          <w:kern w:val="0"/>
          <w:sz w:val="32"/>
          <w:szCs w:val="32"/>
          <w:highlight w:val="none"/>
        </w:rPr>
        <w:t>考生凡有虚假或不实承诺、隐瞒病史、隐瞒旅居史和接触史、自行服药隐瞒症状、瞒报漏报健康情况、提供虚假防疫证明材料(信息)、逃避防疫措施的,一经发现,一律取消考试资格,并依法追究法律责任。</w:t>
      </w:r>
    </w:p>
    <w:p>
      <w:pPr>
        <w:keepNext w:val="0"/>
        <w:keepLines w:val="0"/>
        <w:pageBreakBefore w:val="0"/>
        <w:widowControl/>
        <w:kinsoku/>
        <w:wordWrap/>
        <w:overflowPunct/>
        <w:topLinePunct w:val="0"/>
        <w:autoSpaceDE/>
        <w:autoSpaceDN/>
        <w:bidi w:val="0"/>
        <w:adjustRightInd/>
        <w:snapToGrid/>
        <w:spacing w:line="600" w:lineRule="exact"/>
        <w:ind w:firstLine="482"/>
        <w:rPr>
          <w:rFonts w:hint="eastAsia" w:ascii="仿宋_GB2312" w:hAnsi="仿宋_GB2312" w:eastAsia="仿宋_GB2312" w:cs="仿宋_GB2312"/>
          <w:kern w:val="0"/>
          <w:sz w:val="32"/>
          <w:szCs w:val="32"/>
          <w:highlight w:val="none"/>
        </w:rPr>
      </w:pPr>
      <w:r>
        <w:rPr>
          <w:rFonts w:hint="eastAsia" w:ascii="仿宋_GB2312" w:hAnsi="仿宋_GB2312" w:eastAsia="仿宋_GB2312" w:cs="仿宋_GB2312"/>
          <w:kern w:val="0"/>
          <w:sz w:val="32"/>
          <w:szCs w:val="32"/>
          <w:highlight w:val="none"/>
        </w:rPr>
        <w:t>11.此次考试疫情防控将根据疫情形势及国家、我省和新余市疫情防控总体部署和要求适时调整。同时,根据疫情防控属地管理原则,所在考区疫情防控部门可能就考试疫情防控做进一步具体规定和要求。考生应持续关注新余市疫情防控部门相关公告信息,严格执行相关疫情防控要求。</w:t>
      </w:r>
    </w:p>
    <w:p>
      <w:pPr>
        <w:keepNext w:val="0"/>
        <w:keepLines w:val="0"/>
        <w:pageBreakBefore w:val="0"/>
        <w:widowControl/>
        <w:kinsoku/>
        <w:wordWrap/>
        <w:overflowPunct/>
        <w:topLinePunct w:val="0"/>
        <w:autoSpaceDE/>
        <w:autoSpaceDN/>
        <w:bidi w:val="0"/>
        <w:adjustRightInd/>
        <w:snapToGrid/>
        <w:spacing w:line="600" w:lineRule="exact"/>
        <w:ind w:firstLine="482"/>
        <w:rPr>
          <w:rFonts w:hint="eastAsia" w:ascii="仿宋_GB2312" w:hAnsi="仿宋_GB2312" w:eastAsia="仿宋_GB2312" w:cs="仿宋_GB2312"/>
          <w:kern w:val="0"/>
          <w:sz w:val="32"/>
          <w:szCs w:val="32"/>
          <w:highlight w:val="none"/>
        </w:rPr>
      </w:pPr>
      <w:r>
        <w:rPr>
          <w:rFonts w:hint="eastAsia" w:ascii="仿宋_GB2312" w:hAnsi="仿宋_GB2312" w:eastAsia="仿宋_GB2312" w:cs="仿宋_GB2312"/>
          <w:kern w:val="0"/>
          <w:sz w:val="32"/>
          <w:szCs w:val="32"/>
          <w:highlight w:val="none"/>
        </w:rPr>
        <w:t>12.参加考试的考生,考后14天内应进行自我健康监测,若出现异常情况应第一时间报告所在社区或单位。</w:t>
      </w:r>
    </w:p>
    <w:p>
      <w:pPr>
        <w:keepNext w:val="0"/>
        <w:keepLines w:val="0"/>
        <w:pageBreakBefore w:val="0"/>
        <w:widowControl/>
        <w:kinsoku/>
        <w:wordWrap/>
        <w:overflowPunct/>
        <w:topLinePunct w:val="0"/>
        <w:autoSpaceDE/>
        <w:autoSpaceDN/>
        <w:bidi w:val="0"/>
        <w:adjustRightInd/>
        <w:snapToGrid/>
        <w:spacing w:line="600" w:lineRule="exact"/>
        <w:ind w:firstLine="482"/>
        <w:rPr>
          <w:rFonts w:hint="eastAsia" w:ascii="仿宋_GB2312" w:hAnsi="仿宋_GB2312" w:eastAsia="仿宋_GB2312" w:cs="仿宋_GB2312"/>
          <w:kern w:val="0"/>
          <w:sz w:val="32"/>
          <w:szCs w:val="32"/>
          <w:highlight w:val="none"/>
        </w:rPr>
      </w:pPr>
      <w:r>
        <w:rPr>
          <w:rFonts w:hint="eastAsia" w:ascii="仿宋_GB2312" w:hAnsi="仿宋_GB2312" w:eastAsia="仿宋_GB2312" w:cs="仿宋_GB2312"/>
          <w:kern w:val="0"/>
          <w:sz w:val="32"/>
          <w:szCs w:val="32"/>
          <w:highlight w:val="none"/>
        </w:rPr>
        <w:t>二、考生须认真填写《考生疫情防控承诺书》</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0" w:afterAutospacing="0" w:line="600" w:lineRule="exact"/>
        <w:ind w:left="0" w:right="0" w:firstLine="0"/>
        <w:jc w:val="left"/>
        <w:rPr>
          <w:rFonts w:hint="eastAsia" w:ascii="方正小标宋简体" w:hAnsi="方正小标宋简体" w:eastAsia="方正小标宋简体" w:cs="方正小标宋简体"/>
          <w:b w:val="0"/>
          <w:i w:val="0"/>
          <w:caps w:val="0"/>
          <w:color w:val="auto"/>
          <w:spacing w:val="0"/>
          <w:w w:val="100"/>
          <w:kern w:val="0"/>
          <w:sz w:val="44"/>
          <w:szCs w:val="44"/>
          <w:highlight w:val="none"/>
        </w:rPr>
      </w:pPr>
      <w:r>
        <w:rPr>
          <w:rFonts w:hint="default" w:ascii="微软雅黑" w:hAnsi="微软雅黑" w:eastAsia="微软雅黑" w:cs="微软雅黑"/>
          <w:i w:val="0"/>
          <w:caps w:val="0"/>
          <w:color w:val="auto"/>
          <w:spacing w:val="0"/>
          <w:kern w:val="0"/>
          <w:sz w:val="22"/>
          <w:szCs w:val="22"/>
          <w:highlight w:val="none"/>
          <w:lang w:val="en-US" w:eastAsia="zh-CN" w:bidi="ar"/>
        </w:rPr>
        <w:t> </w:t>
      </w:r>
      <w:r>
        <w:rPr>
          <w:rFonts w:hint="default" w:ascii="微软雅黑" w:hAnsi="微软雅黑" w:eastAsia="微软雅黑" w:cs="微软雅黑"/>
          <w:i w:val="0"/>
          <w:caps w:val="0"/>
          <w:color w:val="auto"/>
          <w:spacing w:val="0"/>
          <w:kern w:val="0"/>
          <w:sz w:val="22"/>
          <w:szCs w:val="22"/>
          <w:highlight w:val="none"/>
          <w:lang w:val="en-US" w:eastAsia="zh-CN" w:bidi="ar"/>
        </w:rPr>
        <w:br w:type="page"/>
      </w:r>
      <w:r>
        <w:rPr>
          <w:rFonts w:hint="eastAsia" w:ascii="方正小标宋简体" w:hAnsi="方正小标宋简体" w:eastAsia="方正小标宋简体" w:cs="方正小标宋简体"/>
          <w:b w:val="0"/>
          <w:i w:val="0"/>
          <w:caps w:val="0"/>
          <w:color w:val="auto"/>
          <w:spacing w:val="0"/>
          <w:w w:val="100"/>
          <w:kern w:val="0"/>
          <w:sz w:val="44"/>
          <w:szCs w:val="44"/>
          <w:highlight w:val="none"/>
          <w:lang w:eastAsia="zh-CN"/>
        </w:rPr>
        <w:t>附件：考生</w:t>
      </w:r>
      <w:r>
        <w:rPr>
          <w:rFonts w:hint="eastAsia" w:ascii="方正小标宋简体" w:hAnsi="方正小标宋简体" w:eastAsia="方正小标宋简体" w:cs="方正小标宋简体"/>
          <w:b w:val="0"/>
          <w:i w:val="0"/>
          <w:caps w:val="0"/>
          <w:color w:val="auto"/>
          <w:spacing w:val="0"/>
          <w:w w:val="100"/>
          <w:kern w:val="0"/>
          <w:sz w:val="44"/>
          <w:szCs w:val="44"/>
          <w:highlight w:val="none"/>
        </w:rPr>
        <w:t>疫情防控承诺书</w:t>
      </w:r>
    </w:p>
    <w:p>
      <w:pPr>
        <w:keepNext w:val="0"/>
        <w:keepLines w:val="0"/>
        <w:pageBreakBefore w:val="0"/>
        <w:widowControl/>
        <w:numPr>
          <w:ilvl w:val="0"/>
          <w:numId w:val="0"/>
        </w:numPr>
        <w:shd w:val="clear" w:color="auto" w:fill="FFFFFF"/>
        <w:kinsoku/>
        <w:wordWrap/>
        <w:overflowPunct/>
        <w:topLinePunct w:val="0"/>
        <w:autoSpaceDE/>
        <w:autoSpaceDN/>
        <w:bidi w:val="0"/>
        <w:adjustRightInd/>
        <w:snapToGrid/>
        <w:spacing w:before="0" w:beforeAutospacing="0" w:after="0" w:afterAutospacing="0" w:line="600" w:lineRule="exact"/>
        <w:ind w:left="480" w:leftChars="0"/>
        <w:jc w:val="center"/>
        <w:textAlignment w:val="baseline"/>
        <w:rPr>
          <w:rFonts w:hint="eastAsia" w:ascii="方正小标宋简体" w:hAnsi="方正小标宋简体" w:eastAsia="方正小标宋简体" w:cs="方正小标宋简体"/>
          <w:b w:val="0"/>
          <w:i w:val="0"/>
          <w:caps w:val="0"/>
          <w:color w:val="auto"/>
          <w:spacing w:val="0"/>
          <w:w w:val="100"/>
          <w:kern w:val="0"/>
          <w:sz w:val="44"/>
          <w:szCs w:val="44"/>
          <w:highlight w:val="none"/>
        </w:rPr>
      </w:pPr>
    </w:p>
    <w:tbl>
      <w:tblPr>
        <w:tblStyle w:val="3"/>
        <w:tblW w:w="878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437"/>
        <w:gridCol w:w="620"/>
        <w:gridCol w:w="1195"/>
        <w:gridCol w:w="1062"/>
        <w:gridCol w:w="133"/>
        <w:gridCol w:w="1194"/>
        <w:gridCol w:w="325"/>
        <w:gridCol w:w="870"/>
        <w:gridCol w:w="1195"/>
        <w:gridCol w:w="104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42" w:hRule="atLeast"/>
          <w:jc w:val="center"/>
        </w:trPr>
        <w:tc>
          <w:tcPr>
            <w:tcW w:w="1141"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tabs>
                <w:tab w:val="center" w:pos="4153"/>
                <w:tab w:val="right" w:pos="8306"/>
              </w:tabs>
              <w:kinsoku/>
              <w:wordWrap/>
              <w:overflowPunct/>
              <w:topLinePunct w:val="0"/>
              <w:autoSpaceDE/>
              <w:autoSpaceDN/>
              <w:bidi w:val="0"/>
              <w:adjustRightInd/>
              <w:snapToGrid/>
              <w:spacing w:line="600" w:lineRule="exact"/>
              <w:jc w:val="center"/>
              <w:rPr>
                <w:rFonts w:ascii="仿宋_GB2312" w:hAnsi="宋体" w:eastAsia="仿宋_GB2312" w:cs="宋体"/>
                <w:color w:val="auto"/>
                <w:szCs w:val="21"/>
                <w:highlight w:val="none"/>
              </w:rPr>
            </w:pPr>
            <w:r>
              <w:rPr>
                <w:rFonts w:hint="eastAsia" w:ascii="仿宋_GB2312" w:hAnsi="宋体" w:eastAsia="仿宋_GB2312" w:cs="宋体"/>
                <w:color w:val="auto"/>
                <w:szCs w:val="21"/>
                <w:highlight w:val="none"/>
              </w:rPr>
              <w:t xml:space="preserve">姓 </w:t>
            </w:r>
            <w:r>
              <w:rPr>
                <w:rFonts w:ascii="仿宋_GB2312" w:hAnsi="宋体" w:eastAsia="仿宋_GB2312" w:cs="宋体"/>
                <w:color w:val="auto"/>
                <w:szCs w:val="21"/>
                <w:highlight w:val="none"/>
              </w:rPr>
              <w:t xml:space="preserve">   </w:t>
            </w:r>
            <w:r>
              <w:rPr>
                <w:rFonts w:hint="eastAsia" w:ascii="仿宋_GB2312" w:hAnsi="宋体" w:eastAsia="仿宋_GB2312" w:cs="宋体"/>
                <w:color w:val="auto"/>
                <w:szCs w:val="21"/>
                <w:highlight w:val="none"/>
              </w:rPr>
              <w:t>名</w:t>
            </w:r>
          </w:p>
        </w:tc>
        <w:tc>
          <w:tcPr>
            <w:tcW w:w="2877"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tabs>
                <w:tab w:val="center" w:pos="4153"/>
                <w:tab w:val="right" w:pos="8306"/>
              </w:tabs>
              <w:kinsoku/>
              <w:wordWrap/>
              <w:overflowPunct/>
              <w:topLinePunct w:val="0"/>
              <w:autoSpaceDE/>
              <w:autoSpaceDN/>
              <w:bidi w:val="0"/>
              <w:adjustRightInd/>
              <w:snapToGrid/>
              <w:spacing w:line="600" w:lineRule="exact"/>
              <w:jc w:val="center"/>
              <w:rPr>
                <w:rFonts w:ascii="仿宋_GB2312" w:hAnsi="宋体" w:eastAsia="仿宋_GB2312" w:cs="宋体"/>
                <w:color w:val="auto"/>
                <w:szCs w:val="21"/>
                <w:highlight w:val="none"/>
              </w:rPr>
            </w:pPr>
          </w:p>
        </w:tc>
        <w:tc>
          <w:tcPr>
            <w:tcW w:w="1652"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tabs>
                <w:tab w:val="center" w:pos="4153"/>
                <w:tab w:val="right" w:pos="8306"/>
              </w:tabs>
              <w:kinsoku/>
              <w:wordWrap/>
              <w:overflowPunct/>
              <w:topLinePunct w:val="0"/>
              <w:autoSpaceDE/>
              <w:autoSpaceDN/>
              <w:bidi w:val="0"/>
              <w:adjustRightInd/>
              <w:snapToGrid/>
              <w:spacing w:line="600" w:lineRule="exact"/>
              <w:jc w:val="center"/>
              <w:rPr>
                <w:rFonts w:ascii="仿宋_GB2312" w:hAnsi="宋体" w:eastAsia="仿宋_GB2312" w:cs="宋体"/>
                <w:color w:val="auto"/>
                <w:szCs w:val="21"/>
                <w:highlight w:val="none"/>
              </w:rPr>
            </w:pPr>
            <w:r>
              <w:rPr>
                <w:rFonts w:hint="eastAsia" w:ascii="仿宋_GB2312" w:hAnsi="宋体" w:eastAsia="仿宋_GB2312" w:cs="宋体"/>
                <w:color w:val="auto"/>
                <w:szCs w:val="21"/>
                <w:highlight w:val="none"/>
              </w:rPr>
              <w:t>身份证号</w:t>
            </w:r>
          </w:p>
        </w:tc>
        <w:tc>
          <w:tcPr>
            <w:tcW w:w="3114"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tabs>
                <w:tab w:val="center" w:pos="4153"/>
                <w:tab w:val="right" w:pos="8306"/>
              </w:tabs>
              <w:kinsoku/>
              <w:wordWrap/>
              <w:overflowPunct/>
              <w:topLinePunct w:val="0"/>
              <w:autoSpaceDE/>
              <w:autoSpaceDN/>
              <w:bidi w:val="0"/>
              <w:adjustRightInd/>
              <w:snapToGrid/>
              <w:spacing w:line="600" w:lineRule="exact"/>
              <w:jc w:val="center"/>
              <w:rPr>
                <w:rFonts w:ascii="仿宋_GB2312" w:hAnsi="宋体" w:eastAsia="仿宋_GB2312"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2" w:hRule="atLeast"/>
          <w:jc w:val="center"/>
        </w:trPr>
        <w:tc>
          <w:tcPr>
            <w:tcW w:w="1141" w:type="dxa"/>
            <w:gridSpan w:val="2"/>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tabs>
                <w:tab w:val="center" w:pos="4153"/>
                <w:tab w:val="right" w:pos="8306"/>
              </w:tabs>
              <w:kinsoku/>
              <w:wordWrap/>
              <w:overflowPunct/>
              <w:topLinePunct w:val="0"/>
              <w:autoSpaceDE/>
              <w:autoSpaceDN/>
              <w:bidi w:val="0"/>
              <w:adjustRightInd/>
              <w:snapToGrid/>
              <w:spacing w:line="600" w:lineRule="exact"/>
              <w:jc w:val="center"/>
              <w:rPr>
                <w:rFonts w:ascii="仿宋_GB2312" w:hAnsi="宋体" w:eastAsia="仿宋_GB2312" w:cs="宋体"/>
                <w:color w:val="auto"/>
                <w:szCs w:val="21"/>
                <w:highlight w:val="none"/>
              </w:rPr>
            </w:pPr>
            <w:r>
              <w:rPr>
                <w:rFonts w:hint="eastAsia" w:ascii="仿宋_GB2312" w:hAnsi="宋体" w:eastAsia="仿宋_GB2312" w:cs="宋体"/>
                <w:color w:val="auto"/>
                <w:szCs w:val="21"/>
                <w:highlight w:val="none"/>
              </w:rPr>
              <w:t>联系方式</w:t>
            </w:r>
          </w:p>
        </w:tc>
        <w:tc>
          <w:tcPr>
            <w:tcW w:w="2877"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tabs>
                <w:tab w:val="center" w:pos="4153"/>
                <w:tab w:val="right" w:pos="8306"/>
              </w:tabs>
              <w:kinsoku/>
              <w:wordWrap/>
              <w:overflowPunct/>
              <w:topLinePunct w:val="0"/>
              <w:autoSpaceDE/>
              <w:autoSpaceDN/>
              <w:bidi w:val="0"/>
              <w:adjustRightInd/>
              <w:snapToGrid/>
              <w:spacing w:line="600" w:lineRule="exact"/>
              <w:jc w:val="center"/>
              <w:rPr>
                <w:rFonts w:ascii="仿宋_GB2312" w:hAnsi="宋体" w:eastAsia="仿宋_GB2312" w:cs="宋体"/>
                <w:color w:val="auto"/>
                <w:szCs w:val="21"/>
                <w:highlight w:val="none"/>
              </w:rPr>
            </w:pPr>
          </w:p>
        </w:tc>
        <w:tc>
          <w:tcPr>
            <w:tcW w:w="1652"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tabs>
                <w:tab w:val="center" w:pos="4153"/>
                <w:tab w:val="right" w:pos="8306"/>
              </w:tabs>
              <w:kinsoku/>
              <w:wordWrap/>
              <w:overflowPunct/>
              <w:topLinePunct w:val="0"/>
              <w:autoSpaceDE/>
              <w:autoSpaceDN/>
              <w:bidi w:val="0"/>
              <w:adjustRightInd/>
              <w:snapToGrid/>
              <w:spacing w:line="600" w:lineRule="exact"/>
              <w:jc w:val="center"/>
              <w:rPr>
                <w:rFonts w:hint="eastAsia" w:ascii="仿宋_GB2312" w:hAnsi="宋体" w:eastAsia="仿宋_GB2312" w:cs="宋体"/>
                <w:color w:val="auto"/>
                <w:szCs w:val="21"/>
                <w:highlight w:val="none"/>
                <w:lang w:eastAsia="zh-CN"/>
              </w:rPr>
            </w:pPr>
            <w:r>
              <w:rPr>
                <w:rFonts w:hint="eastAsia" w:ascii="仿宋_GB2312" w:hAnsi="宋体" w:eastAsia="仿宋_GB2312" w:cs="宋体"/>
                <w:color w:val="auto"/>
                <w:szCs w:val="21"/>
                <w:highlight w:val="none"/>
                <w:lang w:eastAsia="zh-CN"/>
              </w:rPr>
              <w:t>家庭住址</w:t>
            </w:r>
          </w:p>
        </w:tc>
        <w:tc>
          <w:tcPr>
            <w:tcW w:w="3114" w:type="dxa"/>
            <w:gridSpan w:val="3"/>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tabs>
                <w:tab w:val="center" w:pos="4153"/>
                <w:tab w:val="right" w:pos="8306"/>
              </w:tabs>
              <w:kinsoku/>
              <w:wordWrap/>
              <w:overflowPunct/>
              <w:topLinePunct w:val="0"/>
              <w:autoSpaceDE/>
              <w:autoSpaceDN/>
              <w:bidi w:val="0"/>
              <w:adjustRightInd/>
              <w:snapToGrid/>
              <w:spacing w:line="600" w:lineRule="exact"/>
              <w:jc w:val="center"/>
              <w:rPr>
                <w:rFonts w:ascii="仿宋_GB2312" w:hAnsi="宋体" w:eastAsia="仿宋_GB2312" w:cs="宋体"/>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22" w:hRule="atLeast"/>
          <w:jc w:val="center"/>
        </w:trPr>
        <w:tc>
          <w:tcPr>
            <w:tcW w:w="8784" w:type="dxa"/>
            <w:gridSpan w:val="11"/>
            <w:tcBorders>
              <w:top w:val="single" w:color="000000" w:sz="4" w:space="0"/>
              <w:left w:val="single" w:color="000000" w:sz="4" w:space="0"/>
              <w:bottom w:val="single" w:color="auto" w:sz="4" w:space="0"/>
              <w:right w:val="single" w:color="000000" w:sz="4" w:space="0"/>
            </w:tcBorders>
            <w:noWrap w:val="0"/>
            <w:vAlign w:val="center"/>
          </w:tcPr>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0" w:afterAutospacing="0" w:line="240" w:lineRule="atLeast"/>
              <w:ind w:left="0" w:right="0" w:firstLine="480" w:firstLineChars="200"/>
              <w:jc w:val="left"/>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我已阅读并了解2022年新余市公开招聘硕士研究生卫生专业技术人员疫情防控告知书要求，并且在考前12天内按要求测量体温。经本人认真考虑，已知晓并承诺做到以下事项：</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0" w:afterAutospacing="0" w:line="240" w:lineRule="atLeast"/>
              <w:ind w:left="0" w:right="0" w:firstLine="0"/>
              <w:jc w:val="left"/>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（一）本人不属于疫情防控告知书中明确不允许参加考试的人群。</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0" w:afterAutospacing="0" w:line="240" w:lineRule="atLeast"/>
              <w:ind w:left="0" w:right="0" w:firstLine="0"/>
              <w:jc w:val="left"/>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（二）本人在考前12天内如实填写“体温自我监测登记表”，体温和个人健康情况均正常。</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0" w:afterAutospacing="0" w:line="240" w:lineRule="atLeast"/>
              <w:ind w:left="0" w:right="0" w:firstLine="0"/>
              <w:jc w:val="left"/>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（三）考试过程中如出现咳嗽、发热等身体不适情况，我愿自行放弃考试或遵守现场工作人员安排到指定区域考试。</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0" w:afterAutospacing="0" w:line="240" w:lineRule="atLeast"/>
              <w:ind w:left="0" w:right="0" w:firstLine="0"/>
              <w:jc w:val="left"/>
              <w:textAlignment w:val="auto"/>
              <w:rPr>
                <w:rFonts w:hint="eastAsia" w:ascii="仿宋_GB2312" w:hAnsi="仿宋_GB2312" w:eastAsia="仿宋_GB2312" w:cs="仿宋_GB2312"/>
                <w:color w:val="auto"/>
                <w:sz w:val="24"/>
                <w:szCs w:val="24"/>
                <w:highlight w:val="none"/>
              </w:rPr>
            </w:pPr>
            <w:r>
              <w:rPr>
                <w:rFonts w:hint="eastAsia" w:ascii="仿宋_GB2312" w:hAnsi="仿宋_GB2312" w:eastAsia="仿宋_GB2312" w:cs="仿宋_GB2312"/>
                <w:color w:val="auto"/>
                <w:sz w:val="24"/>
                <w:szCs w:val="24"/>
                <w:highlight w:val="none"/>
              </w:rPr>
              <w:t>（四）本人充分理解并遵守考试期间考点各项防疫安全要求。</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150" w:beforeAutospacing="0" w:after="0" w:afterAutospacing="0" w:line="240" w:lineRule="atLeast"/>
              <w:ind w:left="0" w:right="0" w:firstLine="0"/>
              <w:jc w:val="left"/>
              <w:textAlignment w:val="auto"/>
              <w:rPr>
                <w:rFonts w:ascii="仿宋_GB2312" w:hAnsi="宋体" w:eastAsia="仿宋_GB2312" w:cs="宋体"/>
                <w:color w:val="auto"/>
                <w:szCs w:val="21"/>
                <w:highlight w:val="none"/>
              </w:rPr>
            </w:pPr>
            <w:r>
              <w:rPr>
                <w:rFonts w:hint="eastAsia" w:ascii="仿宋_GB2312" w:hAnsi="仿宋_GB2312" w:eastAsia="仿宋_GB2312" w:cs="仿宋_GB2312"/>
                <w:color w:val="auto"/>
                <w:sz w:val="24"/>
                <w:szCs w:val="24"/>
                <w:highlight w:val="none"/>
              </w:rPr>
              <w:t>（五）本人保证以上承诺信息真实、准确、完整，并知悉我将承担瞒报的法律后果及责任。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2" w:hRule="atLeast"/>
          <w:jc w:val="center"/>
        </w:trPr>
        <w:tc>
          <w:tcPr>
            <w:tcW w:w="8784" w:type="dxa"/>
            <w:gridSpan w:val="11"/>
            <w:tcBorders>
              <w:top w:val="single" w:color="auto" w:sz="4" w:space="0"/>
              <w:left w:val="single" w:color="000000" w:sz="4" w:space="0"/>
              <w:bottom w:val="single" w:color="000000" w:sz="4" w:space="0"/>
              <w:right w:val="single" w:color="000000" w:sz="4" w:space="0"/>
            </w:tcBorders>
            <w:noWrap w:val="0"/>
            <w:vAlign w:val="center"/>
          </w:tcPr>
          <w:p>
            <w:pPr>
              <w:keepNext w:val="0"/>
              <w:keepLines w:val="0"/>
              <w:pageBreakBefore w:val="0"/>
              <w:tabs>
                <w:tab w:val="center" w:pos="4153"/>
                <w:tab w:val="right" w:pos="8306"/>
              </w:tabs>
              <w:kinsoku/>
              <w:wordWrap/>
              <w:overflowPunct/>
              <w:topLinePunct w:val="0"/>
              <w:autoSpaceDE/>
              <w:autoSpaceDN/>
              <w:bidi w:val="0"/>
              <w:adjustRightInd/>
              <w:snapToGrid/>
              <w:spacing w:line="600" w:lineRule="exact"/>
              <w:jc w:val="center"/>
              <w:rPr>
                <w:rFonts w:ascii="仿宋" w:hAnsi="仿宋" w:eastAsia="仿宋" w:cs="仿宋"/>
                <w:color w:val="auto"/>
                <w:sz w:val="24"/>
                <w:szCs w:val="26"/>
                <w:highlight w:val="none"/>
              </w:rPr>
            </w:pPr>
            <w:r>
              <w:rPr>
                <w:rFonts w:hint="eastAsia" w:ascii="仿宋" w:hAnsi="仿宋" w:eastAsia="仿宋"/>
                <w:color w:val="auto"/>
                <w:sz w:val="24"/>
                <w:highlight w:val="none"/>
              </w:rPr>
              <w:t>体温自我监测登记表</w:t>
            </w:r>
            <w:r>
              <w:rPr>
                <w:rFonts w:hint="eastAsia" w:ascii="仿宋" w:hAnsi="仿宋" w:eastAsia="仿宋" w:cs="仿宋"/>
                <w:color w:val="auto"/>
                <w:sz w:val="24"/>
                <w:szCs w:val="26"/>
                <w:highlight w:val="none"/>
              </w:rPr>
              <w:t>（考</w:t>
            </w:r>
            <w:r>
              <w:rPr>
                <w:rFonts w:hint="eastAsia" w:ascii="仿宋" w:hAnsi="仿宋" w:eastAsia="仿宋" w:cs="仿宋"/>
                <w:color w:val="auto"/>
                <w:sz w:val="24"/>
                <w:szCs w:val="26"/>
                <w:highlight w:val="none"/>
              </w:rPr>
              <w:t>前</w:t>
            </w:r>
            <w:r>
              <w:rPr>
                <w:rFonts w:hint="eastAsia" w:ascii="仿宋" w:hAnsi="仿宋" w:eastAsia="仿宋" w:cs="仿宋"/>
                <w:color w:val="auto"/>
                <w:sz w:val="24"/>
                <w:szCs w:val="26"/>
                <w:highlight w:val="none"/>
                <w:lang w:val="en-US" w:eastAsia="zh-CN"/>
              </w:rPr>
              <w:t>12</w:t>
            </w:r>
            <w:r>
              <w:rPr>
                <w:rFonts w:hint="eastAsia" w:ascii="仿宋" w:hAnsi="仿宋" w:eastAsia="仿宋" w:cs="仿宋"/>
                <w:color w:val="auto"/>
                <w:sz w:val="24"/>
                <w:szCs w:val="26"/>
                <w:highlight w:val="none"/>
              </w:rPr>
              <w:t>天</w:t>
            </w:r>
            <w:r>
              <w:rPr>
                <w:rFonts w:hint="eastAsia" w:ascii="仿宋" w:hAnsi="仿宋" w:eastAsia="仿宋" w:cs="仿宋"/>
                <w:color w:val="auto"/>
                <w:sz w:val="24"/>
                <w:szCs w:val="26"/>
                <w:highlight w:val="none"/>
              </w:rPr>
              <w:t>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97" w:hRule="atLeast"/>
          <w:jc w:val="center"/>
        </w:trPr>
        <w:tc>
          <w:tcPr>
            <w:tcW w:w="704" w:type="dxa"/>
            <w:tcBorders>
              <w:top w:val="single" w:color="000000" w:sz="4" w:space="0"/>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600" w:lineRule="exact"/>
              <w:jc w:val="center"/>
              <w:rPr>
                <w:rFonts w:ascii="仿宋_GB2312" w:hAnsi="宋体" w:eastAsia="仿宋_GB2312" w:cs="宋体"/>
                <w:bCs/>
                <w:color w:val="auto"/>
                <w:szCs w:val="21"/>
                <w:highlight w:val="none"/>
              </w:rPr>
            </w:pPr>
            <w:r>
              <w:rPr>
                <w:rFonts w:hint="eastAsia" w:ascii="仿宋_GB2312" w:hAnsi="宋体" w:eastAsia="仿宋_GB2312" w:cs="宋体"/>
                <w:bCs/>
                <w:color w:val="auto"/>
                <w:szCs w:val="21"/>
                <w:highlight w:val="none"/>
              </w:rPr>
              <w:t>时间</w:t>
            </w:r>
          </w:p>
        </w:tc>
        <w:tc>
          <w:tcPr>
            <w:tcW w:w="1057" w:type="dxa"/>
            <w:gridSpan w:val="2"/>
            <w:tcBorders>
              <w:top w:val="single" w:color="000000" w:sz="4" w:space="0"/>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600" w:lineRule="exact"/>
              <w:jc w:val="center"/>
              <w:rPr>
                <w:rFonts w:ascii="仿宋_GB2312" w:hAnsi="宋体" w:eastAsia="仿宋_GB2312" w:cs="宋体"/>
                <w:bCs/>
                <w:color w:val="auto"/>
                <w:szCs w:val="21"/>
                <w:highlight w:val="none"/>
              </w:rPr>
            </w:pPr>
            <w:r>
              <w:rPr>
                <w:rFonts w:hint="eastAsia" w:ascii="仿宋_GB2312" w:hAnsi="宋体" w:eastAsia="仿宋_GB2312" w:cs="宋体"/>
                <w:bCs/>
                <w:color w:val="auto"/>
                <w:szCs w:val="21"/>
                <w:highlight w:val="none"/>
              </w:rPr>
              <w:t>第1天</w:t>
            </w:r>
          </w:p>
        </w:tc>
        <w:tc>
          <w:tcPr>
            <w:tcW w:w="1195" w:type="dxa"/>
            <w:tcBorders>
              <w:top w:val="single" w:color="000000" w:sz="4" w:space="0"/>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600" w:lineRule="exact"/>
              <w:jc w:val="center"/>
              <w:rPr>
                <w:rFonts w:ascii="仿宋_GB2312" w:hAnsi="宋体" w:eastAsia="仿宋_GB2312" w:cs="宋体"/>
                <w:bCs/>
                <w:color w:val="auto"/>
                <w:szCs w:val="21"/>
                <w:highlight w:val="none"/>
              </w:rPr>
            </w:pPr>
            <w:r>
              <w:rPr>
                <w:rFonts w:hint="eastAsia" w:ascii="仿宋_GB2312" w:hAnsi="宋体" w:eastAsia="仿宋_GB2312" w:cs="宋体"/>
                <w:bCs/>
                <w:color w:val="auto"/>
                <w:szCs w:val="21"/>
                <w:highlight w:val="none"/>
              </w:rPr>
              <w:t>第2天</w:t>
            </w:r>
          </w:p>
        </w:tc>
        <w:tc>
          <w:tcPr>
            <w:tcW w:w="1195" w:type="dxa"/>
            <w:gridSpan w:val="2"/>
            <w:tcBorders>
              <w:top w:val="single" w:color="000000" w:sz="4" w:space="0"/>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600" w:lineRule="exact"/>
              <w:jc w:val="center"/>
              <w:rPr>
                <w:rFonts w:ascii="仿宋_GB2312" w:hAnsi="宋体" w:eastAsia="仿宋_GB2312" w:cs="宋体"/>
                <w:bCs/>
                <w:color w:val="auto"/>
                <w:szCs w:val="21"/>
                <w:highlight w:val="none"/>
              </w:rPr>
            </w:pPr>
            <w:r>
              <w:rPr>
                <w:rFonts w:hint="eastAsia" w:ascii="仿宋_GB2312" w:hAnsi="宋体" w:eastAsia="仿宋_GB2312" w:cs="宋体"/>
                <w:bCs/>
                <w:color w:val="auto"/>
                <w:szCs w:val="21"/>
                <w:highlight w:val="none"/>
              </w:rPr>
              <w:t>第3天</w:t>
            </w:r>
          </w:p>
        </w:tc>
        <w:tc>
          <w:tcPr>
            <w:tcW w:w="1194" w:type="dxa"/>
            <w:tcBorders>
              <w:top w:val="single" w:color="000000" w:sz="4" w:space="0"/>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600" w:lineRule="exact"/>
              <w:jc w:val="center"/>
              <w:rPr>
                <w:rFonts w:ascii="仿宋_GB2312" w:hAnsi="宋体" w:eastAsia="仿宋_GB2312" w:cs="宋体"/>
                <w:bCs/>
                <w:color w:val="auto"/>
                <w:szCs w:val="21"/>
                <w:highlight w:val="none"/>
              </w:rPr>
            </w:pPr>
            <w:r>
              <w:rPr>
                <w:rFonts w:hint="eastAsia" w:ascii="仿宋_GB2312" w:hAnsi="宋体" w:eastAsia="仿宋_GB2312" w:cs="宋体"/>
                <w:bCs/>
                <w:color w:val="auto"/>
                <w:szCs w:val="21"/>
                <w:highlight w:val="none"/>
              </w:rPr>
              <w:t>第4天</w:t>
            </w:r>
          </w:p>
        </w:tc>
        <w:tc>
          <w:tcPr>
            <w:tcW w:w="1195" w:type="dxa"/>
            <w:gridSpan w:val="2"/>
            <w:tcBorders>
              <w:top w:val="single" w:color="000000" w:sz="4" w:space="0"/>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600" w:lineRule="exact"/>
              <w:jc w:val="center"/>
              <w:rPr>
                <w:rFonts w:ascii="仿宋_GB2312" w:hAnsi="宋体" w:eastAsia="仿宋_GB2312" w:cs="宋体"/>
                <w:bCs/>
                <w:color w:val="auto"/>
                <w:szCs w:val="21"/>
                <w:highlight w:val="none"/>
              </w:rPr>
            </w:pPr>
            <w:r>
              <w:rPr>
                <w:rFonts w:hint="eastAsia" w:ascii="仿宋_GB2312" w:hAnsi="宋体" w:eastAsia="仿宋_GB2312" w:cs="宋体"/>
                <w:bCs/>
                <w:color w:val="auto"/>
                <w:szCs w:val="21"/>
                <w:highlight w:val="none"/>
              </w:rPr>
              <w:t>第5天</w:t>
            </w:r>
          </w:p>
        </w:tc>
        <w:tc>
          <w:tcPr>
            <w:tcW w:w="1195" w:type="dxa"/>
            <w:tcBorders>
              <w:top w:val="single" w:color="000000" w:sz="4" w:space="0"/>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600" w:lineRule="exact"/>
              <w:jc w:val="center"/>
              <w:rPr>
                <w:rFonts w:ascii="仿宋_GB2312" w:hAnsi="宋体" w:eastAsia="仿宋_GB2312" w:cs="宋体"/>
                <w:bCs/>
                <w:color w:val="auto"/>
                <w:szCs w:val="21"/>
                <w:highlight w:val="none"/>
              </w:rPr>
            </w:pPr>
            <w:r>
              <w:rPr>
                <w:rFonts w:hint="eastAsia" w:ascii="仿宋_GB2312" w:hAnsi="宋体" w:eastAsia="仿宋_GB2312" w:cs="宋体"/>
                <w:bCs/>
                <w:color w:val="auto"/>
                <w:szCs w:val="21"/>
                <w:highlight w:val="none"/>
              </w:rPr>
              <w:t>第6天</w:t>
            </w:r>
          </w:p>
        </w:tc>
        <w:tc>
          <w:tcPr>
            <w:tcW w:w="1049" w:type="dxa"/>
            <w:tcBorders>
              <w:top w:val="single" w:color="000000" w:sz="4" w:space="0"/>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600" w:lineRule="exact"/>
              <w:jc w:val="center"/>
              <w:rPr>
                <w:rFonts w:ascii="仿宋_GB2312" w:hAnsi="宋体" w:eastAsia="仿宋_GB2312" w:cs="宋体"/>
                <w:bCs/>
                <w:color w:val="auto"/>
                <w:szCs w:val="21"/>
                <w:highlight w:val="none"/>
              </w:rPr>
            </w:pPr>
            <w:r>
              <w:rPr>
                <w:rFonts w:hint="eastAsia" w:ascii="仿宋_GB2312" w:hAnsi="宋体" w:eastAsia="仿宋_GB2312" w:cs="宋体"/>
                <w:bCs/>
                <w:color w:val="auto"/>
                <w:szCs w:val="21"/>
                <w:highlight w:val="none"/>
              </w:rPr>
              <w:t>第7天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jc w:val="center"/>
        </w:trPr>
        <w:tc>
          <w:tcPr>
            <w:tcW w:w="704" w:type="dxa"/>
            <w:tcBorders>
              <w:top w:val="single" w:color="000000" w:sz="4" w:space="0"/>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600" w:lineRule="exact"/>
              <w:jc w:val="center"/>
              <w:rPr>
                <w:rFonts w:ascii="仿宋_GB2312" w:hAnsi="宋体" w:eastAsia="仿宋_GB2312" w:cs="宋体"/>
                <w:bCs/>
                <w:color w:val="auto"/>
                <w:szCs w:val="21"/>
                <w:highlight w:val="none"/>
              </w:rPr>
            </w:pPr>
            <w:r>
              <w:rPr>
                <w:rFonts w:hint="eastAsia" w:ascii="仿宋_GB2312" w:hAnsi="宋体" w:eastAsia="仿宋_GB2312" w:cs="宋体"/>
                <w:bCs/>
                <w:color w:val="auto"/>
                <w:szCs w:val="21"/>
                <w:highlight w:val="none"/>
              </w:rPr>
              <w:t>体温</w:t>
            </w:r>
          </w:p>
        </w:tc>
        <w:tc>
          <w:tcPr>
            <w:tcW w:w="1057" w:type="dxa"/>
            <w:gridSpan w:val="2"/>
            <w:tcBorders>
              <w:top w:val="single" w:color="000000" w:sz="4" w:space="0"/>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600" w:lineRule="exact"/>
              <w:jc w:val="center"/>
              <w:rPr>
                <w:rFonts w:ascii="仿宋_GB2312" w:hAnsi="宋体" w:eastAsia="仿宋_GB2312" w:cs="宋体"/>
                <w:bCs/>
                <w:color w:val="auto"/>
                <w:szCs w:val="21"/>
                <w:highlight w:val="none"/>
              </w:rPr>
            </w:pPr>
          </w:p>
        </w:tc>
        <w:tc>
          <w:tcPr>
            <w:tcW w:w="1195" w:type="dxa"/>
            <w:tcBorders>
              <w:top w:val="single" w:color="000000" w:sz="4" w:space="0"/>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600" w:lineRule="exact"/>
              <w:jc w:val="center"/>
              <w:rPr>
                <w:rFonts w:ascii="仿宋_GB2312" w:hAnsi="宋体" w:eastAsia="仿宋_GB2312" w:cs="宋体"/>
                <w:bCs/>
                <w:color w:val="auto"/>
                <w:szCs w:val="21"/>
                <w:highlight w:val="none"/>
              </w:rPr>
            </w:pPr>
          </w:p>
        </w:tc>
        <w:tc>
          <w:tcPr>
            <w:tcW w:w="1195" w:type="dxa"/>
            <w:gridSpan w:val="2"/>
            <w:tcBorders>
              <w:top w:val="single" w:color="000000" w:sz="4" w:space="0"/>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600" w:lineRule="exact"/>
              <w:jc w:val="center"/>
              <w:rPr>
                <w:rFonts w:ascii="仿宋_GB2312" w:hAnsi="宋体" w:eastAsia="仿宋_GB2312" w:cs="宋体"/>
                <w:bCs/>
                <w:color w:val="auto"/>
                <w:szCs w:val="21"/>
                <w:highlight w:val="none"/>
              </w:rPr>
            </w:pPr>
          </w:p>
        </w:tc>
        <w:tc>
          <w:tcPr>
            <w:tcW w:w="1194" w:type="dxa"/>
            <w:tcBorders>
              <w:top w:val="single" w:color="000000" w:sz="4" w:space="0"/>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600" w:lineRule="exact"/>
              <w:jc w:val="center"/>
              <w:rPr>
                <w:rFonts w:ascii="仿宋_GB2312" w:hAnsi="宋体" w:eastAsia="仿宋_GB2312" w:cs="宋体"/>
                <w:bCs/>
                <w:color w:val="auto"/>
                <w:szCs w:val="21"/>
                <w:highlight w:val="none"/>
              </w:rPr>
            </w:pPr>
          </w:p>
        </w:tc>
        <w:tc>
          <w:tcPr>
            <w:tcW w:w="1195" w:type="dxa"/>
            <w:gridSpan w:val="2"/>
            <w:tcBorders>
              <w:top w:val="single" w:color="000000" w:sz="4" w:space="0"/>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600" w:lineRule="exact"/>
              <w:jc w:val="center"/>
              <w:rPr>
                <w:rFonts w:ascii="仿宋_GB2312" w:hAnsi="宋体" w:eastAsia="仿宋_GB2312" w:cs="宋体"/>
                <w:bCs/>
                <w:color w:val="auto"/>
                <w:szCs w:val="21"/>
                <w:highlight w:val="none"/>
              </w:rPr>
            </w:pPr>
          </w:p>
        </w:tc>
        <w:tc>
          <w:tcPr>
            <w:tcW w:w="1195" w:type="dxa"/>
            <w:tcBorders>
              <w:top w:val="single" w:color="000000" w:sz="4" w:space="0"/>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600" w:lineRule="exact"/>
              <w:jc w:val="center"/>
              <w:rPr>
                <w:rFonts w:ascii="仿宋_GB2312" w:hAnsi="宋体" w:eastAsia="仿宋_GB2312" w:cs="宋体"/>
                <w:bCs/>
                <w:color w:val="auto"/>
                <w:szCs w:val="21"/>
                <w:highlight w:val="none"/>
              </w:rPr>
            </w:pPr>
          </w:p>
        </w:tc>
        <w:tc>
          <w:tcPr>
            <w:tcW w:w="1049" w:type="dxa"/>
            <w:tcBorders>
              <w:top w:val="single" w:color="000000" w:sz="4" w:space="0"/>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600" w:lineRule="exact"/>
              <w:jc w:val="center"/>
              <w:rPr>
                <w:rFonts w:ascii="仿宋_GB2312" w:hAnsi="宋体" w:eastAsia="仿宋_GB2312" w:cs="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jc w:val="center"/>
        </w:trPr>
        <w:tc>
          <w:tcPr>
            <w:tcW w:w="704" w:type="dxa"/>
            <w:tcBorders>
              <w:top w:val="single" w:color="000000" w:sz="4" w:space="0"/>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600" w:lineRule="exact"/>
              <w:jc w:val="center"/>
              <w:rPr>
                <w:rFonts w:ascii="仿宋_GB2312" w:hAnsi="宋体" w:eastAsia="仿宋_GB2312" w:cs="宋体"/>
                <w:bCs/>
                <w:color w:val="auto"/>
                <w:szCs w:val="21"/>
                <w:highlight w:val="none"/>
              </w:rPr>
            </w:pPr>
            <w:r>
              <w:rPr>
                <w:rFonts w:hint="eastAsia" w:ascii="仿宋_GB2312" w:hAnsi="宋体" w:eastAsia="仿宋_GB2312" w:cs="宋体"/>
                <w:bCs/>
                <w:color w:val="auto"/>
                <w:szCs w:val="21"/>
                <w:highlight w:val="none"/>
              </w:rPr>
              <w:t>时间</w:t>
            </w:r>
          </w:p>
        </w:tc>
        <w:tc>
          <w:tcPr>
            <w:tcW w:w="1057" w:type="dxa"/>
            <w:gridSpan w:val="2"/>
            <w:tcBorders>
              <w:top w:val="single" w:color="000000" w:sz="4" w:space="0"/>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600" w:lineRule="exact"/>
              <w:jc w:val="center"/>
              <w:rPr>
                <w:rFonts w:ascii="仿宋_GB2312" w:hAnsi="宋体" w:eastAsia="仿宋_GB2312" w:cs="宋体"/>
                <w:bCs/>
                <w:color w:val="auto"/>
                <w:szCs w:val="21"/>
                <w:highlight w:val="none"/>
              </w:rPr>
            </w:pPr>
            <w:r>
              <w:rPr>
                <w:rFonts w:hint="eastAsia" w:ascii="仿宋_GB2312" w:hAnsi="宋体" w:eastAsia="仿宋_GB2312" w:cs="宋体"/>
                <w:bCs/>
                <w:color w:val="auto"/>
                <w:szCs w:val="21"/>
                <w:highlight w:val="none"/>
              </w:rPr>
              <w:t>第</w:t>
            </w:r>
            <w:r>
              <w:rPr>
                <w:rFonts w:ascii="仿宋_GB2312" w:hAnsi="宋体" w:eastAsia="仿宋_GB2312" w:cs="宋体"/>
                <w:bCs/>
                <w:color w:val="auto"/>
                <w:szCs w:val="21"/>
                <w:highlight w:val="none"/>
              </w:rPr>
              <w:t>8</w:t>
            </w:r>
            <w:r>
              <w:rPr>
                <w:rFonts w:hint="eastAsia" w:ascii="仿宋_GB2312" w:hAnsi="宋体" w:eastAsia="仿宋_GB2312" w:cs="宋体"/>
                <w:bCs/>
                <w:color w:val="auto"/>
                <w:szCs w:val="21"/>
                <w:highlight w:val="none"/>
              </w:rPr>
              <w:t>天</w:t>
            </w:r>
          </w:p>
        </w:tc>
        <w:tc>
          <w:tcPr>
            <w:tcW w:w="1195" w:type="dxa"/>
            <w:tcBorders>
              <w:top w:val="single" w:color="000000" w:sz="4" w:space="0"/>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600" w:lineRule="exact"/>
              <w:jc w:val="center"/>
              <w:rPr>
                <w:rFonts w:ascii="仿宋_GB2312" w:hAnsi="宋体" w:eastAsia="仿宋_GB2312" w:cs="宋体"/>
                <w:bCs/>
                <w:color w:val="auto"/>
                <w:szCs w:val="21"/>
                <w:highlight w:val="none"/>
              </w:rPr>
            </w:pPr>
            <w:r>
              <w:rPr>
                <w:rFonts w:hint="eastAsia" w:ascii="仿宋_GB2312" w:hAnsi="宋体" w:eastAsia="仿宋_GB2312" w:cs="宋体"/>
                <w:bCs/>
                <w:color w:val="auto"/>
                <w:szCs w:val="21"/>
                <w:highlight w:val="none"/>
              </w:rPr>
              <w:t>第</w:t>
            </w:r>
            <w:r>
              <w:rPr>
                <w:rFonts w:hint="eastAsia" w:ascii="仿宋_GB2312" w:hAnsi="宋体" w:eastAsia="仿宋_GB2312" w:cs="宋体"/>
                <w:bCs/>
                <w:color w:val="auto"/>
                <w:szCs w:val="21"/>
                <w:highlight w:val="none"/>
                <w:lang w:val="en-US" w:eastAsia="zh-CN"/>
              </w:rPr>
              <w:t>9</w:t>
            </w:r>
            <w:r>
              <w:rPr>
                <w:rFonts w:hint="eastAsia" w:ascii="仿宋_GB2312" w:hAnsi="宋体" w:eastAsia="仿宋_GB2312" w:cs="宋体"/>
                <w:bCs/>
                <w:color w:val="auto"/>
                <w:szCs w:val="21"/>
                <w:highlight w:val="none"/>
              </w:rPr>
              <w:t>天</w:t>
            </w:r>
          </w:p>
        </w:tc>
        <w:tc>
          <w:tcPr>
            <w:tcW w:w="1195" w:type="dxa"/>
            <w:gridSpan w:val="2"/>
            <w:tcBorders>
              <w:top w:val="single" w:color="000000" w:sz="4" w:space="0"/>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600" w:lineRule="exact"/>
              <w:jc w:val="center"/>
              <w:rPr>
                <w:rFonts w:ascii="仿宋_GB2312" w:hAnsi="宋体" w:eastAsia="仿宋_GB2312" w:cs="宋体"/>
                <w:bCs/>
                <w:color w:val="auto"/>
                <w:szCs w:val="21"/>
                <w:highlight w:val="none"/>
              </w:rPr>
            </w:pPr>
            <w:r>
              <w:rPr>
                <w:rFonts w:hint="eastAsia" w:ascii="仿宋_GB2312" w:hAnsi="宋体" w:eastAsia="仿宋_GB2312" w:cs="宋体"/>
                <w:bCs/>
                <w:color w:val="auto"/>
                <w:szCs w:val="21"/>
                <w:highlight w:val="none"/>
              </w:rPr>
              <w:t>第</w:t>
            </w:r>
            <w:r>
              <w:rPr>
                <w:rFonts w:ascii="仿宋_GB2312" w:hAnsi="宋体" w:eastAsia="仿宋_GB2312" w:cs="宋体"/>
                <w:bCs/>
                <w:color w:val="auto"/>
                <w:szCs w:val="21"/>
                <w:highlight w:val="none"/>
              </w:rPr>
              <w:t>10</w:t>
            </w:r>
            <w:r>
              <w:rPr>
                <w:rFonts w:hint="eastAsia" w:ascii="仿宋_GB2312" w:hAnsi="宋体" w:eastAsia="仿宋_GB2312" w:cs="宋体"/>
                <w:bCs/>
                <w:color w:val="auto"/>
                <w:szCs w:val="21"/>
                <w:highlight w:val="none"/>
              </w:rPr>
              <w:t>天</w:t>
            </w:r>
          </w:p>
        </w:tc>
        <w:tc>
          <w:tcPr>
            <w:tcW w:w="1194" w:type="dxa"/>
            <w:tcBorders>
              <w:top w:val="single" w:color="000000" w:sz="4" w:space="0"/>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600" w:lineRule="exact"/>
              <w:jc w:val="center"/>
              <w:rPr>
                <w:rFonts w:ascii="仿宋_GB2312" w:hAnsi="宋体" w:eastAsia="仿宋_GB2312" w:cs="宋体"/>
                <w:bCs/>
                <w:color w:val="auto"/>
                <w:szCs w:val="21"/>
                <w:highlight w:val="none"/>
              </w:rPr>
            </w:pPr>
            <w:r>
              <w:rPr>
                <w:rFonts w:hint="eastAsia" w:ascii="仿宋_GB2312" w:hAnsi="宋体" w:eastAsia="仿宋_GB2312" w:cs="宋体"/>
                <w:bCs/>
                <w:color w:val="auto"/>
                <w:szCs w:val="21"/>
                <w:highlight w:val="none"/>
              </w:rPr>
              <w:t>第</w:t>
            </w:r>
            <w:r>
              <w:rPr>
                <w:rFonts w:ascii="仿宋_GB2312" w:hAnsi="宋体" w:eastAsia="仿宋_GB2312" w:cs="宋体"/>
                <w:bCs/>
                <w:color w:val="auto"/>
                <w:szCs w:val="21"/>
                <w:highlight w:val="none"/>
              </w:rPr>
              <w:t>11</w:t>
            </w:r>
            <w:r>
              <w:rPr>
                <w:rFonts w:hint="eastAsia" w:ascii="仿宋_GB2312" w:hAnsi="宋体" w:eastAsia="仿宋_GB2312" w:cs="宋体"/>
                <w:bCs/>
                <w:color w:val="auto"/>
                <w:szCs w:val="21"/>
                <w:highlight w:val="none"/>
              </w:rPr>
              <w:t>天</w:t>
            </w:r>
          </w:p>
        </w:tc>
        <w:tc>
          <w:tcPr>
            <w:tcW w:w="1195" w:type="dxa"/>
            <w:gridSpan w:val="2"/>
            <w:tcBorders>
              <w:top w:val="single" w:color="000000" w:sz="4" w:space="0"/>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600" w:lineRule="exact"/>
              <w:jc w:val="center"/>
              <w:rPr>
                <w:rFonts w:ascii="仿宋_GB2312" w:hAnsi="宋体" w:eastAsia="仿宋_GB2312" w:cs="宋体"/>
                <w:bCs/>
                <w:color w:val="auto"/>
                <w:szCs w:val="21"/>
                <w:highlight w:val="none"/>
              </w:rPr>
            </w:pPr>
            <w:r>
              <w:rPr>
                <w:rFonts w:hint="eastAsia" w:ascii="仿宋_GB2312" w:hAnsi="宋体" w:eastAsia="仿宋_GB2312" w:cs="宋体"/>
                <w:bCs/>
                <w:color w:val="auto"/>
                <w:szCs w:val="21"/>
                <w:highlight w:val="none"/>
              </w:rPr>
              <w:t>第</w:t>
            </w:r>
            <w:r>
              <w:rPr>
                <w:rFonts w:ascii="仿宋_GB2312" w:hAnsi="宋体" w:eastAsia="仿宋_GB2312" w:cs="宋体"/>
                <w:bCs/>
                <w:color w:val="auto"/>
                <w:szCs w:val="21"/>
                <w:highlight w:val="none"/>
              </w:rPr>
              <w:t>12</w:t>
            </w:r>
            <w:r>
              <w:rPr>
                <w:rFonts w:hint="eastAsia" w:ascii="仿宋_GB2312" w:hAnsi="宋体" w:eastAsia="仿宋_GB2312" w:cs="宋体"/>
                <w:bCs/>
                <w:color w:val="auto"/>
                <w:szCs w:val="21"/>
                <w:highlight w:val="none"/>
              </w:rPr>
              <w:t>天</w:t>
            </w:r>
          </w:p>
        </w:tc>
        <w:tc>
          <w:tcPr>
            <w:tcW w:w="2244" w:type="dxa"/>
            <w:gridSpan w:val="2"/>
            <w:vMerge w:val="restart"/>
            <w:tcBorders>
              <w:top w:val="single" w:color="000000" w:sz="4" w:space="0"/>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600" w:lineRule="exact"/>
              <w:jc w:val="center"/>
              <w:rPr>
                <w:rFonts w:ascii="仿宋_GB2312" w:hAnsi="宋体" w:eastAsia="仿宋_GB2312" w:cs="宋体"/>
                <w:bCs/>
                <w:color w:val="auto"/>
                <w:szCs w:val="21"/>
                <w:highlight w:val="none"/>
              </w:rPr>
            </w:pPr>
            <w:r>
              <w:rPr>
                <w:color w:val="auto"/>
                <w:sz w:val="21"/>
                <w:highlight w:val="none"/>
              </w:rPr>
              <mc:AlternateContent>
                <mc:Choice Requires="wps">
                  <w:drawing>
                    <wp:anchor distT="0" distB="0" distL="114300" distR="114300" simplePos="0" relativeHeight="251658240" behindDoc="0" locked="0" layoutInCell="1" allowOverlap="1">
                      <wp:simplePos x="0" y="0"/>
                      <wp:positionH relativeFrom="column">
                        <wp:posOffset>-58420</wp:posOffset>
                      </wp:positionH>
                      <wp:positionV relativeFrom="paragraph">
                        <wp:posOffset>22225</wp:posOffset>
                      </wp:positionV>
                      <wp:extent cx="1399540" cy="527685"/>
                      <wp:effectExtent l="1905" t="4445" r="8255" b="20320"/>
                      <wp:wrapNone/>
                      <wp:docPr id="1" name="直线 2"/>
                      <wp:cNvGraphicFramePr/>
                      <a:graphic xmlns:a="http://schemas.openxmlformats.org/drawingml/2006/main">
                        <a:graphicData uri="http://schemas.microsoft.com/office/word/2010/wordprocessingShape">
                          <wps:wsp>
                            <wps:cNvCnPr/>
                            <wps:spPr>
                              <a:xfrm>
                                <a:off x="0" y="0"/>
                                <a:ext cx="1399540" cy="527685"/>
                              </a:xfrm>
                              <a:prstGeom prst="line">
                                <a:avLst/>
                              </a:prstGeom>
                              <a:ln w="9525" cap="flat" cmpd="sng">
                                <a:solidFill>
                                  <a:srgbClr val="000000"/>
                                </a:solidFill>
                                <a:prstDash val="solid"/>
                                <a:headEnd type="none" w="med" len="med"/>
                                <a:tailEnd type="none" w="med" len="med"/>
                              </a:ln>
                            </wps:spPr>
                            <wps:bodyPr upright="true"/>
                          </wps:wsp>
                        </a:graphicData>
                      </a:graphic>
                    </wp:anchor>
                  </w:drawing>
                </mc:Choice>
                <mc:Fallback>
                  <w:pict>
                    <v:line id="直线 2" o:spid="_x0000_s1026" o:spt="20" style="position:absolute;left:0pt;margin-left:-4.6pt;margin-top:1.75pt;height:41.55pt;width:110.2pt;z-index:251658240;mso-width-relative:page;mso-height-relative:page;" filled="f" stroked="t" coordsize="21600,21600" o:gfxdata="UEsFBgAAAAAAAAAAAAAAAAAAAAAAAFBLAwQKAAAAAACHTuJAAAAAAAAAAAAAAAAABAAAAGRycy9Q&#10;SwMEFAAAAAgAh07iQLgyC3TVAAAABwEAAA8AAABkcnMvZG93bnJldi54bWxNjj1Pw0AQRHsk/sNp&#10;kWii5GxHWInxOgXgjoYAot34NraFb8/xXT7g13NUUI5m9OaVm4sd1Ikn3ztBSBcJKJbGmV5ahLfX&#10;er4C5QOJocEJI3yxh011fVVSYdxZXvi0Da2KEPEFIXQhjIXWvunYkl+4kSV2ezdZCjFOrTYTnSPc&#10;DjpLklxb6iU+dDTyQ8fN5/ZoEXz9zof6e9bMko9l6zg7PD4/EeLtTZrcgwp8CX9j+NWP6lBFp507&#10;ivFqQJivs7hEWN6BinWWpjHvEFZ5Droq9X//6gdQSwMEFAAAAAgAh07iQH0mo0HUAQAAlQMAAA4A&#10;AABkcnMvZTJvRG9jLnhtbK1TzY7TMBC+I/EOlu80bSHLNmq6hy3LBUGlhQeY2k5iyX/yuE37LLwG&#10;Jy48zr4GY7d0YfeCEDk4Y8/nL/N9M1neHKxhexVRe9fy2WTKmXLCS+36ln/5fPfqmjNM4CQY71TL&#10;jwr5zerli+UYGjX3gzdSRUYkDpsxtHxIKTRVhWJQFnDig3KU7Hy0kGgb+0pGGIndmmo+nV5Vo48y&#10;RC8UIp2uT0m+Kvxdp0T61HWoEjMtp9pSWWNZt3mtVkto+ghh0OJcBvxDFRa0o49eqNaQgO2ifkZl&#10;tYgefZcmwtvKd50WqmggNbPpEzX3AwRVtJA5GC424f+jFR/3m8i0pN5x5sBSix6+fnv4/oPNszdj&#10;wIYgt24TzzsMm5iFHrpo85sksEPx83jxUx0SE3Q4e71Y1G/IdkG5ev726rrOpNXj7RAxvVfeshy0&#10;3GiX9UID+w+YTtBfkHxsHBtbvqjnNXECjUtnIFFoAwlA15e76I2Wd9qYfANjv701ke0hD0B5ziX8&#10;AcsfWQMOJ1xJZRg0gwL5zkmWjoGscTTDPJdgleTMKBr5HBVkAm3+BknqjSMTsrUnM3O09fJIjdiF&#10;qPuBnEhxp0qhOUm9L66d5zQP1+/7Qvb4N61+Al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FgEAABbQ29udGVudF9UeXBlc10ueG1sUEsBAhQACgAA&#10;AAAAh07iQAAAAAAAAAAAAAAAAAYAAAAAAAAAAAAQAAAAOgMAAF9yZWxzL1BLAQIUABQAAAAIAIdO&#10;4kCKFGY80QAAAJQBAAALAAAAAAAAAAEAIAAAAF4DAABfcmVscy8ucmVsc1BLAQIUAAoAAAAAAIdO&#10;4kAAAAAAAAAAAAAAAAAEAAAAAAAAAAAAEAAAABYAAABkcnMvUEsBAhQAFAAAAAgAh07iQLgyC3TV&#10;AAAABwEAAA8AAAAAAAAAAQAgAAAAOAAAAGRycy9kb3ducmV2LnhtbFBLAQIUABQAAAAIAIdO4kB9&#10;JqNB1AEAAJUDAAAOAAAAAAAAAAEAIAAAADoBAABkcnMvZTJvRG9jLnhtbFBLBQYAAAAABgAGAFkB&#10;AACABQAAAAA=&#10;">
                      <v:fill on="f" focussize="0,0"/>
                      <v:stroke color="#000000" joinstyle="round"/>
                      <v:imagedata o:title=""/>
                      <o:lock v:ext="edit" aspectratio="f"/>
                    </v:line>
                  </w:pict>
                </mc:Fallback>
              </mc:AlternateConten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26" w:hRule="atLeast"/>
          <w:jc w:val="center"/>
        </w:trPr>
        <w:tc>
          <w:tcPr>
            <w:tcW w:w="704" w:type="dxa"/>
            <w:tcBorders>
              <w:top w:val="single" w:color="000000" w:sz="4" w:space="0"/>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600" w:lineRule="exact"/>
              <w:jc w:val="center"/>
              <w:rPr>
                <w:rFonts w:ascii="仿宋_GB2312" w:hAnsi="宋体" w:eastAsia="仿宋_GB2312" w:cs="宋体"/>
                <w:bCs/>
                <w:color w:val="auto"/>
                <w:szCs w:val="21"/>
                <w:highlight w:val="none"/>
              </w:rPr>
            </w:pPr>
            <w:r>
              <w:rPr>
                <w:rFonts w:hint="eastAsia" w:ascii="仿宋_GB2312" w:hAnsi="宋体" w:eastAsia="仿宋_GB2312" w:cs="宋体"/>
                <w:bCs/>
                <w:color w:val="auto"/>
                <w:szCs w:val="21"/>
                <w:highlight w:val="none"/>
              </w:rPr>
              <w:t>体温</w:t>
            </w:r>
          </w:p>
        </w:tc>
        <w:tc>
          <w:tcPr>
            <w:tcW w:w="1057" w:type="dxa"/>
            <w:gridSpan w:val="2"/>
            <w:tcBorders>
              <w:top w:val="single" w:color="000000" w:sz="4" w:space="0"/>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600" w:lineRule="exact"/>
              <w:jc w:val="center"/>
              <w:rPr>
                <w:rFonts w:ascii="仿宋_GB2312" w:hAnsi="宋体" w:eastAsia="仿宋_GB2312" w:cs="宋体"/>
                <w:bCs/>
                <w:color w:val="auto"/>
                <w:szCs w:val="21"/>
                <w:highlight w:val="none"/>
              </w:rPr>
            </w:pPr>
          </w:p>
        </w:tc>
        <w:tc>
          <w:tcPr>
            <w:tcW w:w="1195" w:type="dxa"/>
            <w:tcBorders>
              <w:top w:val="single" w:color="000000" w:sz="4" w:space="0"/>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600" w:lineRule="exact"/>
              <w:jc w:val="center"/>
              <w:rPr>
                <w:rFonts w:ascii="仿宋_GB2312" w:hAnsi="宋体" w:eastAsia="仿宋_GB2312" w:cs="宋体"/>
                <w:bCs/>
                <w:color w:val="auto"/>
                <w:szCs w:val="21"/>
                <w:highlight w:val="none"/>
              </w:rPr>
            </w:pPr>
          </w:p>
        </w:tc>
        <w:tc>
          <w:tcPr>
            <w:tcW w:w="1195" w:type="dxa"/>
            <w:gridSpan w:val="2"/>
            <w:tcBorders>
              <w:top w:val="single" w:color="000000" w:sz="4" w:space="0"/>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600" w:lineRule="exact"/>
              <w:jc w:val="center"/>
              <w:rPr>
                <w:rFonts w:ascii="仿宋_GB2312" w:hAnsi="宋体" w:eastAsia="仿宋_GB2312" w:cs="宋体"/>
                <w:bCs/>
                <w:color w:val="auto"/>
                <w:szCs w:val="21"/>
                <w:highlight w:val="none"/>
              </w:rPr>
            </w:pPr>
          </w:p>
        </w:tc>
        <w:tc>
          <w:tcPr>
            <w:tcW w:w="1194" w:type="dxa"/>
            <w:tcBorders>
              <w:top w:val="single" w:color="000000" w:sz="4" w:space="0"/>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600" w:lineRule="exact"/>
              <w:jc w:val="center"/>
              <w:rPr>
                <w:rFonts w:ascii="仿宋_GB2312" w:hAnsi="宋体" w:eastAsia="仿宋_GB2312" w:cs="宋体"/>
                <w:bCs/>
                <w:color w:val="auto"/>
                <w:szCs w:val="21"/>
                <w:highlight w:val="none"/>
              </w:rPr>
            </w:pPr>
          </w:p>
        </w:tc>
        <w:tc>
          <w:tcPr>
            <w:tcW w:w="1195" w:type="dxa"/>
            <w:gridSpan w:val="2"/>
            <w:tcBorders>
              <w:top w:val="single" w:color="000000" w:sz="4" w:space="0"/>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600" w:lineRule="exact"/>
              <w:jc w:val="center"/>
              <w:rPr>
                <w:rFonts w:ascii="仿宋_GB2312" w:hAnsi="宋体" w:eastAsia="仿宋_GB2312" w:cs="宋体"/>
                <w:bCs/>
                <w:color w:val="auto"/>
                <w:szCs w:val="21"/>
                <w:highlight w:val="none"/>
              </w:rPr>
            </w:pPr>
          </w:p>
        </w:tc>
        <w:tc>
          <w:tcPr>
            <w:tcW w:w="2244" w:type="dxa"/>
            <w:gridSpan w:val="2"/>
            <w:vMerge w:val="continue"/>
            <w:tcBorders>
              <w:left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600" w:lineRule="exact"/>
              <w:jc w:val="center"/>
              <w:rPr>
                <w:rFonts w:ascii="仿宋_GB2312" w:hAnsi="宋体" w:eastAsia="仿宋_GB2312" w:cs="宋体"/>
                <w:bCs/>
                <w:color w:val="auto"/>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9" w:hRule="atLeast"/>
          <w:jc w:val="center"/>
        </w:trPr>
        <w:tc>
          <w:tcPr>
            <w:tcW w:w="8784" w:type="dxa"/>
            <w:gridSpan w:val="11"/>
            <w:tcBorders>
              <w:top w:val="single" w:color="000000" w:sz="4" w:space="0"/>
              <w:left w:val="single" w:color="000000" w:sz="4" w:space="0"/>
              <w:bottom w:val="single" w:color="000000" w:sz="4" w:space="0"/>
              <w:right w:val="single" w:color="000000" w:sz="4" w:space="0"/>
            </w:tcBorders>
            <w:noWrap w:val="0"/>
            <w:vAlign w:val="center"/>
          </w:tcPr>
          <w:p>
            <w:pPr>
              <w:keepNext w:val="0"/>
              <w:keepLines w:val="0"/>
              <w:pageBreakBefore w:val="0"/>
              <w:kinsoku/>
              <w:wordWrap/>
              <w:overflowPunct/>
              <w:topLinePunct w:val="0"/>
              <w:autoSpaceDE/>
              <w:autoSpaceDN/>
              <w:bidi w:val="0"/>
              <w:adjustRightInd/>
              <w:snapToGrid/>
              <w:spacing w:line="600" w:lineRule="exact"/>
              <w:rPr>
                <w:rFonts w:ascii="仿宋_GB2312" w:hAnsi="宋体" w:eastAsia="仿宋_GB2312" w:cs="宋体"/>
                <w:bCs/>
                <w:color w:val="auto"/>
                <w:sz w:val="24"/>
                <w:highlight w:val="none"/>
              </w:rPr>
            </w:pPr>
            <w:r>
              <w:rPr>
                <w:rFonts w:hint="eastAsia" w:ascii="仿宋_GB2312" w:hAnsi="宋体" w:eastAsia="仿宋_GB2312" w:cs="宋体"/>
                <w:bCs/>
                <w:color w:val="auto"/>
                <w:sz w:val="24"/>
                <w:highlight w:val="none"/>
              </w:rPr>
              <w:t xml:space="preserve">考生签名：               </w:t>
            </w:r>
            <w:r>
              <w:rPr>
                <w:rFonts w:ascii="仿宋_GB2312" w:hAnsi="宋体" w:eastAsia="仿宋_GB2312" w:cs="宋体"/>
                <w:bCs/>
                <w:color w:val="auto"/>
                <w:sz w:val="24"/>
                <w:highlight w:val="none"/>
              </w:rPr>
              <w:t xml:space="preserve"> </w:t>
            </w:r>
            <w:r>
              <w:rPr>
                <w:rFonts w:hint="eastAsia" w:ascii="仿宋_GB2312" w:hAnsi="宋体" w:eastAsia="仿宋_GB2312" w:cs="宋体"/>
                <w:bCs/>
                <w:color w:val="auto"/>
                <w:sz w:val="24"/>
                <w:highlight w:val="none"/>
              </w:rPr>
              <w:t xml:space="preserve">           承诺日期： </w:t>
            </w:r>
            <w:r>
              <w:rPr>
                <w:rFonts w:ascii="仿宋_GB2312" w:hAnsi="宋体" w:eastAsia="仿宋_GB2312" w:cs="宋体"/>
                <w:bCs/>
                <w:color w:val="auto"/>
                <w:sz w:val="24"/>
                <w:highlight w:val="none"/>
              </w:rPr>
              <w:t xml:space="preserve">  </w:t>
            </w:r>
            <w:r>
              <w:rPr>
                <w:rFonts w:hint="eastAsia" w:ascii="仿宋_GB2312" w:hAnsi="宋体" w:eastAsia="仿宋_GB2312" w:cs="宋体"/>
                <w:bCs/>
                <w:color w:val="auto"/>
                <w:sz w:val="24"/>
                <w:highlight w:val="none"/>
              </w:rPr>
              <w:t xml:space="preserve"> </w:t>
            </w:r>
            <w:r>
              <w:rPr>
                <w:rFonts w:ascii="仿宋_GB2312" w:hAnsi="宋体" w:eastAsia="仿宋_GB2312" w:cs="宋体"/>
                <w:bCs/>
                <w:color w:val="auto"/>
                <w:sz w:val="24"/>
                <w:highlight w:val="none"/>
              </w:rPr>
              <w:t xml:space="preserve">  </w:t>
            </w:r>
            <w:r>
              <w:rPr>
                <w:rFonts w:hint="eastAsia" w:ascii="仿宋_GB2312" w:hAnsi="宋体" w:eastAsia="仿宋_GB2312" w:cs="宋体"/>
                <w:bCs/>
                <w:color w:val="auto"/>
                <w:sz w:val="24"/>
                <w:highlight w:val="none"/>
              </w:rPr>
              <w:t xml:space="preserve">年 </w:t>
            </w:r>
            <w:r>
              <w:rPr>
                <w:rFonts w:ascii="仿宋_GB2312" w:hAnsi="宋体" w:eastAsia="仿宋_GB2312" w:cs="宋体"/>
                <w:bCs/>
                <w:color w:val="auto"/>
                <w:sz w:val="24"/>
                <w:highlight w:val="none"/>
              </w:rPr>
              <w:t xml:space="preserve">    </w:t>
            </w:r>
            <w:r>
              <w:rPr>
                <w:rFonts w:hint="eastAsia" w:ascii="仿宋_GB2312" w:hAnsi="宋体" w:eastAsia="仿宋_GB2312" w:cs="宋体"/>
                <w:bCs/>
                <w:color w:val="auto"/>
                <w:sz w:val="24"/>
                <w:highlight w:val="none"/>
              </w:rPr>
              <w:t xml:space="preserve">月 </w:t>
            </w:r>
            <w:r>
              <w:rPr>
                <w:rFonts w:ascii="仿宋_GB2312" w:hAnsi="宋体" w:eastAsia="仿宋_GB2312" w:cs="宋体"/>
                <w:bCs/>
                <w:color w:val="auto"/>
                <w:sz w:val="24"/>
                <w:highlight w:val="none"/>
              </w:rPr>
              <w:t xml:space="preserve">    </w:t>
            </w:r>
            <w:r>
              <w:rPr>
                <w:rFonts w:hint="eastAsia" w:ascii="仿宋_GB2312" w:hAnsi="宋体" w:eastAsia="仿宋_GB2312" w:cs="宋体"/>
                <w:bCs/>
                <w:color w:val="auto"/>
                <w:sz w:val="24"/>
                <w:highlight w:val="none"/>
              </w:rPr>
              <w:t>日</w:t>
            </w:r>
          </w:p>
          <w:p>
            <w:pPr>
              <w:keepNext w:val="0"/>
              <w:keepLines w:val="0"/>
              <w:pageBreakBefore w:val="0"/>
              <w:kinsoku/>
              <w:wordWrap/>
              <w:overflowPunct/>
              <w:topLinePunct w:val="0"/>
              <w:autoSpaceDE/>
              <w:autoSpaceDN/>
              <w:bidi w:val="0"/>
              <w:adjustRightInd/>
              <w:snapToGrid/>
              <w:spacing w:line="600" w:lineRule="exact"/>
              <w:ind w:firstLine="1440" w:firstLineChars="600"/>
              <w:rPr>
                <w:rFonts w:ascii="仿宋_GB2312" w:hAnsi="宋体" w:eastAsia="仿宋_GB2312" w:cs="宋体"/>
                <w:bCs/>
                <w:color w:val="auto"/>
                <w:szCs w:val="21"/>
                <w:highlight w:val="none"/>
              </w:rPr>
            </w:pPr>
            <w:r>
              <w:rPr>
                <w:rFonts w:hint="eastAsia" w:ascii="仿宋_GB2312" w:hAnsi="宋体" w:eastAsia="仿宋_GB2312" w:cs="宋体"/>
                <w:bCs/>
                <w:color w:val="auto"/>
                <w:sz w:val="24"/>
                <w:highlight w:val="none"/>
              </w:rPr>
              <w:t>（签名请勿潦草）</w:t>
            </w:r>
          </w:p>
        </w:tc>
      </w:tr>
    </w:tbl>
    <w:p>
      <w:pPr>
        <w:keepNext w:val="0"/>
        <w:keepLines w:val="0"/>
        <w:pageBreakBefore w:val="0"/>
        <w:kinsoku/>
        <w:wordWrap/>
        <w:overflowPunct/>
        <w:topLinePunct w:val="0"/>
        <w:autoSpaceDE/>
        <w:autoSpaceDN/>
        <w:bidi w:val="0"/>
        <w:adjustRightInd/>
        <w:snapToGrid/>
        <w:spacing w:line="600" w:lineRule="exact"/>
        <w:textAlignment w:val="auto"/>
        <w:rPr>
          <w:rFonts w:hint="eastAsia" w:ascii="黑体" w:hAnsi="黑体" w:eastAsia="黑体" w:cs="Times New Roman"/>
          <w:color w:val="auto"/>
          <w:sz w:val="32"/>
          <w:szCs w:val="32"/>
          <w:highlight w:val="none"/>
        </w:rPr>
      </w:pPr>
      <w:r>
        <w:rPr>
          <w:rFonts w:hint="eastAsia" w:ascii="黑体" w:hAnsi="黑体" w:eastAsia="黑体" w:cs="宋体"/>
          <w:b/>
          <w:color w:val="auto"/>
          <w:kern w:val="0"/>
          <w:sz w:val="22"/>
          <w:szCs w:val="21"/>
          <w:highlight w:val="none"/>
        </w:rPr>
        <w:t>注：</w:t>
      </w:r>
      <w:r>
        <w:rPr>
          <w:rFonts w:hint="eastAsia" w:ascii="楷体" w:hAnsi="楷体" w:eastAsia="楷体" w:cs="宋体"/>
          <w:bCs/>
          <w:color w:val="auto"/>
          <w:kern w:val="0"/>
          <w:sz w:val="22"/>
          <w:szCs w:val="21"/>
          <w:highlight w:val="none"/>
        </w:rPr>
        <w:t>考生在笔试当天携带有考生本人签名的《</w:t>
      </w:r>
      <w:r>
        <w:rPr>
          <w:rFonts w:hint="eastAsia" w:ascii="楷体" w:hAnsi="楷体" w:eastAsia="楷体" w:cs="宋体"/>
          <w:bCs/>
          <w:color w:val="auto"/>
          <w:kern w:val="0"/>
          <w:sz w:val="22"/>
          <w:szCs w:val="21"/>
          <w:highlight w:val="none"/>
          <w:lang w:val="en-US" w:eastAsia="zh-CN"/>
        </w:rPr>
        <w:t>疫情防控</w:t>
      </w:r>
      <w:r>
        <w:rPr>
          <w:rFonts w:hint="eastAsia" w:ascii="楷体" w:hAnsi="楷体" w:eastAsia="楷体" w:cs="宋体"/>
          <w:bCs/>
          <w:color w:val="auto"/>
          <w:kern w:val="0"/>
          <w:sz w:val="22"/>
          <w:szCs w:val="21"/>
          <w:highlight w:val="none"/>
        </w:rPr>
        <w:t>承诺书》进入考点，交给本场监考人员。</w:t>
      </w:r>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altName w:val="方正宋体S-超大字符集(SIP)"/>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方正宋体S-超大字符集(SIP)"/>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小标宋简体">
    <w:panose1 w:val="02000000000000000000"/>
    <w:charset w:val="86"/>
    <w:family w:val="auto"/>
    <w:pitch w:val="default"/>
    <w:sig w:usb0="A00002BF" w:usb1="184F6CFA" w:usb2="00000012" w:usb3="00000000" w:csb0="00040001" w:csb1="00000000"/>
  </w:font>
  <w:font w:name="仿宋_GB2312">
    <w:panose1 w:val="02010609030101010101"/>
    <w:charset w:val="86"/>
    <w:family w:val="auto"/>
    <w:pitch w:val="default"/>
    <w:sig w:usb0="00000001" w:usb1="080E0000" w:usb2="00000000" w:usb3="00000000" w:csb0="00040000" w:csb1="00000000"/>
  </w:font>
  <w:font w:name="微软雅黑">
    <w:altName w:val="黑体"/>
    <w:panose1 w:val="00000000000000000000"/>
    <w:charset w:val="00"/>
    <w:family w:val="auto"/>
    <w:pitch w:val="default"/>
    <w:sig w:usb0="00000000" w:usb1="00000000" w:usb2="00000000" w:usb3="00000000" w:csb0="00040001" w:csb1="00000000"/>
  </w:font>
  <w:font w:name="仿宋">
    <w:altName w:val="方正仿宋_GBK"/>
    <w:panose1 w:val="02010609060101010101"/>
    <w:charset w:val="00"/>
    <w:family w:val="auto"/>
    <w:pitch w:val="default"/>
    <w:sig w:usb0="00000000" w:usb1="00000000" w:usb2="00000000" w:usb3="00000000" w:csb0="00040001" w:csb1="00000000"/>
  </w:font>
  <w:font w:name="楷体">
    <w:altName w:val="方正楷体_GBK"/>
    <w:panose1 w:val="02010609060101010101"/>
    <w:charset w:val="00"/>
    <w:family w:val="modern"/>
    <w:pitch w:val="default"/>
    <w:sig w:usb0="00000000" w:usb1="00000000" w:usb2="00000000" w:usb3="00000000" w:csb0="00040001"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DejaVu Math TeX Gyre">
    <w:panose1 w:val="02000503000000000000"/>
    <w:charset w:val="00"/>
    <w:family w:val="auto"/>
    <w:pitch w:val="default"/>
    <w:sig w:usb0="A10000EF" w:usb1="4201F9EE" w:usb2="02000000" w:usb3="00000000" w:csb0="60000193" w:csb1="0DD40000"/>
  </w:font>
  <w:font w:name="方正仿宋_GBK">
    <w:panose1 w:val="02000000000000000000"/>
    <w:charset w:val="86"/>
    <w:family w:val="auto"/>
    <w:pitch w:val="default"/>
    <w:sig w:usb0="00000001" w:usb1="08000000" w:usb2="00000000" w:usb3="00000000" w:csb0="00040000" w:csb1="00000000"/>
  </w:font>
  <w:font w:name="方正楷体_GBK">
    <w:panose1 w:val="02000000000000000000"/>
    <w:charset w:val="86"/>
    <w:family w:val="auto"/>
    <w:pitch w:val="default"/>
    <w:sig w:usb0="00000001" w:usb1="0800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BFD53BF"/>
    <w:multiLevelType w:val="multilevel"/>
    <w:tmpl w:val="BBFD53BF"/>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
      <w:lvlJc w:val="left"/>
      <w:pPr>
        <w:tabs>
          <w:tab w:val="left" w:pos="1440"/>
        </w:tabs>
        <w:ind w:left="1440" w:hanging="360"/>
      </w:pPr>
      <w:rPr>
        <w:rFonts w:hint="default" w:ascii="Symbol" w:hAnsi="Symbol" w:cs="Symbol"/>
        <w:sz w:val="20"/>
      </w:rPr>
    </w:lvl>
    <w:lvl w:ilvl="2" w:tentative="0">
      <w:start w:val="1"/>
      <w:numFmt w:val="bullet"/>
      <w:lvlText w:val=""/>
      <w:lvlJc w:val="left"/>
      <w:pPr>
        <w:tabs>
          <w:tab w:val="left" w:pos="2160"/>
        </w:tabs>
        <w:ind w:left="2160" w:hanging="360"/>
      </w:pPr>
      <w:rPr>
        <w:rFonts w:hint="default" w:ascii="Symbol" w:hAnsi="Symbol" w:cs="Symbol"/>
        <w:sz w:val="20"/>
      </w:rPr>
    </w:lvl>
    <w:lvl w:ilvl="3" w:tentative="0">
      <w:start w:val="1"/>
      <w:numFmt w:val="bullet"/>
      <w:lvlText w:val=""/>
      <w:lvlJc w:val="left"/>
      <w:pPr>
        <w:tabs>
          <w:tab w:val="left" w:pos="2880"/>
        </w:tabs>
        <w:ind w:left="2880" w:hanging="360"/>
      </w:pPr>
      <w:rPr>
        <w:rFonts w:hint="default" w:ascii="Symbol" w:hAnsi="Symbol" w:cs="Symbol"/>
        <w:sz w:val="20"/>
      </w:rPr>
    </w:lvl>
    <w:lvl w:ilvl="4" w:tentative="0">
      <w:start w:val="1"/>
      <w:numFmt w:val="bullet"/>
      <w:lvlText w:val=""/>
      <w:lvlJc w:val="left"/>
      <w:pPr>
        <w:tabs>
          <w:tab w:val="left" w:pos="3600"/>
        </w:tabs>
        <w:ind w:left="3600" w:hanging="360"/>
      </w:pPr>
      <w:rPr>
        <w:rFonts w:hint="default" w:ascii="Symbol" w:hAnsi="Symbol" w:cs="Symbol"/>
        <w:sz w:val="20"/>
      </w:rPr>
    </w:lvl>
    <w:lvl w:ilvl="5" w:tentative="0">
      <w:start w:val="1"/>
      <w:numFmt w:val="bullet"/>
      <w:lvlText w:val=""/>
      <w:lvlJc w:val="left"/>
      <w:pPr>
        <w:tabs>
          <w:tab w:val="left" w:pos="4320"/>
        </w:tabs>
        <w:ind w:left="4320" w:hanging="360"/>
      </w:pPr>
      <w:rPr>
        <w:rFonts w:hint="default" w:ascii="Symbol" w:hAnsi="Symbol" w:cs="Symbol"/>
        <w:sz w:val="20"/>
      </w:rPr>
    </w:lvl>
    <w:lvl w:ilvl="6" w:tentative="0">
      <w:start w:val="1"/>
      <w:numFmt w:val="bullet"/>
      <w:lvlText w:val=""/>
      <w:lvlJc w:val="left"/>
      <w:pPr>
        <w:tabs>
          <w:tab w:val="left" w:pos="5040"/>
        </w:tabs>
        <w:ind w:left="5040" w:hanging="360"/>
      </w:pPr>
      <w:rPr>
        <w:rFonts w:hint="default" w:ascii="Symbol" w:hAnsi="Symbol" w:cs="Symbol"/>
        <w:sz w:val="20"/>
      </w:rPr>
    </w:lvl>
    <w:lvl w:ilvl="7" w:tentative="0">
      <w:start w:val="1"/>
      <w:numFmt w:val="bullet"/>
      <w:lvlText w:val=""/>
      <w:lvlJc w:val="left"/>
      <w:pPr>
        <w:tabs>
          <w:tab w:val="left" w:pos="5760"/>
        </w:tabs>
        <w:ind w:left="5760" w:hanging="360"/>
      </w:pPr>
      <w:rPr>
        <w:rFonts w:hint="default" w:ascii="Symbol" w:hAnsi="Symbol" w:cs="Symbol"/>
        <w:sz w:val="20"/>
      </w:rPr>
    </w:lvl>
    <w:lvl w:ilvl="8" w:tentative="0">
      <w:start w:val="1"/>
      <w:numFmt w:val="bullet"/>
      <w:lvlText w:val=""/>
      <w:lvlJc w:val="left"/>
      <w:pPr>
        <w:tabs>
          <w:tab w:val="left" w:pos="6480"/>
        </w:tabs>
        <w:ind w:left="6480" w:hanging="360"/>
      </w:pPr>
      <w:rPr>
        <w:rFonts w:hint="default" w:ascii="Symbol" w:hAnsi="Symbol" w:cs="Symbol"/>
        <w:sz w:val="20"/>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false"/>
  <w:bordersDoNotSurroundFooter w:val="false"/>
  <w:documentProtection w:enforcement="0"/>
  <w:defaultTabStop w:val="420"/>
  <w:hyphenationZone w:val="36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3B9B9799"/>
    <w:rsid w:val="3CFE9FF1"/>
    <w:rsid w:val="3D3C2D7F"/>
    <w:rsid w:val="3D7741D4"/>
    <w:rsid w:val="3DB66A4B"/>
    <w:rsid w:val="3E46CF05"/>
    <w:rsid w:val="3EAB0813"/>
    <w:rsid w:val="3F33DF82"/>
    <w:rsid w:val="5DFBA18D"/>
    <w:rsid w:val="5F799399"/>
    <w:rsid w:val="5FCF6532"/>
    <w:rsid w:val="5FFE0DB7"/>
    <w:rsid w:val="66EF950A"/>
    <w:rsid w:val="6C4E10D4"/>
    <w:rsid w:val="6C6DD05C"/>
    <w:rsid w:val="6EFBBCD5"/>
    <w:rsid w:val="6F9DC61D"/>
    <w:rsid w:val="6FAB9A50"/>
    <w:rsid w:val="71BF5F64"/>
    <w:rsid w:val="7BC6042F"/>
    <w:rsid w:val="7D9A8B5E"/>
    <w:rsid w:val="7F5C31B1"/>
    <w:rsid w:val="AD2AE616"/>
    <w:rsid w:val="BF7F85F4"/>
    <w:rsid w:val="DD5DB823"/>
    <w:rsid w:val="DFFE6DB8"/>
    <w:rsid w:val="EBBF75E4"/>
    <w:rsid w:val="F3BDCA2D"/>
    <w:rsid w:val="F6EBC197"/>
    <w:rsid w:val="F7EE03F7"/>
    <w:rsid w:val="FB7C65FF"/>
    <w:rsid w:val="FB9DC71E"/>
    <w:rsid w:val="FBBF54D9"/>
    <w:rsid w:val="FDF9064F"/>
    <w:rsid w:val="FEAE4BD4"/>
    <w:rsid w:val="FFFB363C"/>
    <w:rsid w:val="FFFFA492"/>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100" w:beforeAutospacing="1" w:after="100" w:afterAutospacing="1"/>
      <w:ind w:left="0" w:right="0"/>
      <w:jc w:val="left"/>
    </w:pPr>
    <w:rPr>
      <w:kern w:val="0"/>
      <w:sz w:val="24"/>
      <w:lang w:val="en-US" w:eastAsia="zh-CN" w:bidi="ar"/>
    </w:rPr>
  </w:style>
  <w:style w:type="character" w:styleId="5">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tint val="50000"/>
                <a:satMod val="300000"/>
              </a:schemeClr>
            </a:gs>
            <a:gs pos="35000">
              <a:schemeClr val="phClr">
                <a:tint val="37000"/>
                <a:satMod val="300000"/>
              </a:schemeClr>
            </a:gs>
            <a:gs pos="100000">
              <a:schemeClr val="phClr">
                <a:tint val="15000"/>
                <a:satMod val="350000"/>
              </a:schemeClr>
            </a:gs>
          </a:gsLst>
          <a:lin ang="16200000" scaled="true"/>
        </a:gradFill>
        <a:gradFill rotWithShape="true">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false"/>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true">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true">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Office_11.8.2.10251_F1E327BC-269C-435d-A152-05C5408002CA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2014-10-30T20:08:00Z</dcterms:created>
  <dc:creator>Administrator</dc:creator>
  <cp:lastModifiedBy>喵不可言</cp:lastModifiedBy>
  <dcterms:modified xsi:type="dcterms:W3CDTF">2022-06-14T08:42:59Z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2052-11.8.2.10251</vt:lpwstr>
  </property>
</Properties>
</file>