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color="auto" w:fill="auto"/>
        <w:kinsoku/>
        <w:overflowPunct/>
        <w:topLinePunct w:val="0"/>
        <w:autoSpaceDE/>
        <w:autoSpaceDN/>
        <w:bidi w:val="0"/>
        <w:adjustRightInd/>
        <w:snapToGrid/>
        <w:spacing w:line="575" w:lineRule="exact"/>
        <w:ind w:left="0" w:leftChars="0" w:right="0" w:rightChars="0"/>
        <w:jc w:val="both"/>
        <w:textAlignment w:val="center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附件1：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auto"/>
        <w:kinsoku/>
        <w:overflowPunct/>
        <w:topLinePunct w:val="0"/>
        <w:autoSpaceDE/>
        <w:autoSpaceDN/>
        <w:bidi w:val="0"/>
        <w:adjustRightInd/>
        <w:snapToGrid/>
        <w:spacing w:line="575" w:lineRule="exact"/>
        <w:ind w:left="0" w:leftChars="0" w:right="0" w:rightChars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highlight w:val="none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highlight w:val="none"/>
          <w:u w:val="none"/>
          <w:lang w:val="en-US" w:eastAsia="zh-CN" w:bidi="ar"/>
        </w:rPr>
        <w:t>鄂尔多斯市中心医院引进高层次人才岗位目录</w:t>
      </w:r>
    </w:p>
    <w:tbl>
      <w:tblPr>
        <w:tblStyle w:val="4"/>
        <w:tblW w:w="4754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663"/>
        <w:gridCol w:w="1790"/>
        <w:gridCol w:w="877"/>
        <w:gridCol w:w="2518"/>
        <w:gridCol w:w="2370"/>
        <w:gridCol w:w="34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2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left="0" w:leftChars="0" w:right="0" w:rightChars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left="0" w:leftChars="0" w:right="0" w:rightChars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引进单位</w:t>
            </w:r>
          </w:p>
        </w:tc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3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引进人数</w:t>
            </w:r>
          </w:p>
        </w:tc>
        <w:tc>
          <w:tcPr>
            <w:tcW w:w="310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引才要求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2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6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学历学位或专业技术资格要求</w:t>
            </w:r>
          </w:p>
        </w:tc>
        <w:tc>
          <w:tcPr>
            <w:tcW w:w="128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5" w:lineRule="exact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能力及其他要求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8" w:hRule="atLeast"/>
          <w:jc w:val="center"/>
        </w:trPr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鄂尔多斯市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中心医院</w:t>
            </w:r>
          </w:p>
        </w:tc>
        <w:tc>
          <w:tcPr>
            <w:tcW w:w="6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东胜部妇产科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主任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本科临床医学，研究生妇产科学（或妇产科相关专业）</w:t>
            </w:r>
          </w:p>
        </w:tc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国民教育序列硕士研究生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及以上学历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。取得妇产科正高级职称满5年。</w:t>
            </w:r>
          </w:p>
        </w:tc>
        <w:tc>
          <w:tcPr>
            <w:tcW w:w="1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1.年龄50周岁及以下。</w:t>
            </w:r>
          </w:p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2.具有10年及以上三级甲等公立医院妇产科临床工作经验，同行认可度高，具有较高科研能力和学术造诣。</w:t>
            </w:r>
          </w:p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3.原则上应具有妇产科领域学科带头人的水平，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在省（自治区）级及以上妇产科医学会或医师学会担任副主任委员及以上职务。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AEBC5B-55CE-4762-BD3E-D22B57D616B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6E5C500-FDA1-43B1-BA9C-81D983BC8DE0}"/>
  </w:font>
  <w:font w:name="方正小标宋简体">
    <w:panose1 w:val="02000000000000000000"/>
    <w:charset w:val="86"/>
    <w:family w:val="auto"/>
    <w:pitch w:val="default"/>
    <w:sig w:usb0="800002BF" w:usb1="184F6CF8" w:usb2="00000012" w:usb3="00000000" w:csb0="00160001" w:csb1="12030000"/>
    <w:embedRegular r:id="rId3" w:fontKey="{3C290C84-F5A2-4605-AF67-906E8B9DB31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4NjllYjA5ODI1ZDNhOGVhZDE2NzI2NjM5N2UyOGQifQ=="/>
  </w:docVars>
  <w:rsids>
    <w:rsidRoot w:val="243E2F78"/>
    <w:rsid w:val="211F302A"/>
    <w:rsid w:val="243E2F78"/>
    <w:rsid w:val="777D7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567"/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258</Characters>
  <Lines>0</Lines>
  <Paragraphs>0</Paragraphs>
  <TotalTime>4</TotalTime>
  <ScaleCrop>false</ScaleCrop>
  <LinksUpToDate>false</LinksUpToDate>
  <CharactersWithSpaces>258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2022-05-30T03:13:00Z</dcterms:created>
  <dc:creator>ucfuhic</dc:creator>
  <cp:lastModifiedBy>ucfuhic</cp:lastModifiedBy>
  <dcterms:modified xsi:type="dcterms:W3CDTF">2022-05-30T03:45:50Z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244E76ED16A44533B2119495A59D10F6</vt:lpwstr>
  </property>
</Properties>
</file>