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textAlignment w:val="auto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用人计划及岗位要求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420"/>
        <w:gridCol w:w="1210"/>
        <w:gridCol w:w="2420"/>
        <w:gridCol w:w="1815"/>
        <w:gridCol w:w="1815"/>
        <w:gridCol w:w="1285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4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2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968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20220101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儿科医生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临床医学学（B100301）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小儿内科副主任医师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20220102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放射科医生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临床医学（B100301）或医学影像学（B100303）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放射诊断副主任医师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年考试录用公务员专业参考目录》的，可选择专业要求中相近专业报考，但所学专业必修课程须与报考岗位要求的专业主要课程基本一致，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right="0"/>
        <w:jc w:val="left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sectPr>
          <w:pgSz w:w="16838" w:h="11906" w:orient="landscape"/>
          <w:pgMar w:top="1418" w:right="1134" w:bottom="1418" w:left="1402" w:header="851" w:footer="992" w:gutter="0"/>
          <w:cols w:space="720" w:num="1"/>
          <w:docGrid w:type="lines" w:linePitch="312" w:charSpace="0"/>
        </w:sectPr>
      </w:pP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期限计算截止日期为接受报名截止日。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zRmMmEzOTE2ZDA1NmNhNzQzOTRjMWM3YzlmYzEifQ=="/>
  </w:docVars>
  <w:rsids>
    <w:rsidRoot w:val="55C616D3"/>
    <w:rsid w:val="4CEF3B4E"/>
    <w:rsid w:val="55C6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299</Characters>
  <Lines>0</Lines>
  <Paragraphs>0</Paragraphs>
  <TotalTime>0</TotalTime>
  <ScaleCrop>false</ScaleCrop>
  <LinksUpToDate>false</LinksUpToDate>
  <CharactersWithSpaces>299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2022-05-23T03:24:00Z</dcterms:created>
  <dc:creator>蓉R。</dc:creator>
  <cp:lastModifiedBy>Archi1404921082</cp:lastModifiedBy>
  <dcterms:modified xsi:type="dcterms:W3CDTF">2022-05-23T06:57:00Z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7698DC6AC6BE47958C8E7D9FFE793D51</vt:lpwstr>
  </property>
</Properties>
</file>