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fill="FFFFFF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高层次人才公开招聘岗位及岗位要求</w:t>
      </w:r>
      <w:bookmarkStart w:id="0" w:name="_GoBack"/>
      <w:bookmarkEnd w:id="0"/>
    </w:p>
    <w:tbl>
      <w:tblPr>
        <w:tblStyle w:val="7"/>
        <w:tblW w:w="147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2420"/>
        <w:gridCol w:w="1210"/>
        <w:gridCol w:w="2420"/>
        <w:gridCol w:w="1815"/>
        <w:gridCol w:w="1922"/>
        <w:gridCol w:w="1380"/>
        <w:gridCol w:w="2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242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2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人数</w:t>
            </w:r>
          </w:p>
        </w:tc>
        <w:tc>
          <w:tcPr>
            <w:tcW w:w="99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9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专业资格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（职称）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20220101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医学影像科主任</w:t>
            </w:r>
          </w:p>
        </w:tc>
        <w:tc>
          <w:tcPr>
            <w:tcW w:w="12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临床医学（B100301）、医学影像学（B100303）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本科以上学历、学士以上学位</w:t>
            </w:r>
          </w:p>
        </w:tc>
        <w:tc>
          <w:tcPr>
            <w:tcW w:w="19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正高职称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50周岁及以下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地市级医院影像科任职经历不少于5年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20220102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全科医学中心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心身医学科主任</w:t>
            </w:r>
          </w:p>
        </w:tc>
        <w:tc>
          <w:tcPr>
            <w:tcW w:w="12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临床医学（B100301）、精神病与精神卫生学（A100205）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本科以上学历、学士以上学位</w:t>
            </w:r>
          </w:p>
        </w:tc>
        <w:tc>
          <w:tcPr>
            <w:tcW w:w="19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正高职称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45周岁及以下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具有三级医院工作经验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2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20220103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关节外科副主任</w:t>
            </w:r>
          </w:p>
        </w:tc>
        <w:tc>
          <w:tcPr>
            <w:tcW w:w="12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外科学（A100210）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研究生学历、硕士学位</w:t>
            </w:r>
          </w:p>
        </w:tc>
        <w:tc>
          <w:tcPr>
            <w:tcW w:w="19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副高职称及以上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45周岁及以下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具有三级医院工作经验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20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20220104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科研科科长</w:t>
            </w:r>
          </w:p>
        </w:tc>
        <w:tc>
          <w:tcPr>
            <w:tcW w:w="12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42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基础医学（A1001）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病理与病理生理学（A100104）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研究生学历、博士学位</w:t>
            </w:r>
          </w:p>
        </w:tc>
        <w:tc>
          <w:tcPr>
            <w:tcW w:w="192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副高职称及以上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50周岁及以下</w:t>
            </w:r>
          </w:p>
        </w:tc>
        <w:tc>
          <w:tcPr>
            <w:tcW w:w="238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具有三级医院工作经验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jc w:val="both"/>
        <w:textAlignment w:val="auto"/>
        <w:rPr>
          <w:rFonts w:hint="eastAsia" w:ascii="楷体" w:hAnsi="楷体" w:eastAsia="楷体" w:cs="楷体"/>
          <w:color w:val="00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24"/>
          <w:szCs w:val="24"/>
          <w:lang w:val="en-US" w:eastAsia="zh-CN"/>
        </w:rPr>
        <w:t>1.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专业名称参照《广东省202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年考试录用公务员专业参考目录》。如报考人员所学专业未列入《广东省202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年考试录用公务员专业参考目录》的，可选择专业要求中相近专业报考，但所学专业必修课程须与报考岗位要求的专业主要课程基本一致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0" w:lineRule="atLeast"/>
        <w:ind w:right="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val="en-US" w:eastAsia="zh-CN"/>
        </w:rPr>
        <w:t>2.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以上所列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  <w:lang w:eastAsia="zh-CN"/>
        </w:rPr>
        <w:t>时间</w:t>
      </w:r>
      <w:r>
        <w:rPr>
          <w:rFonts w:hint="eastAsia" w:ascii="楷体" w:hAnsi="楷体" w:eastAsia="楷体" w:cs="楷体"/>
          <w:color w:val="333333"/>
          <w:sz w:val="24"/>
          <w:szCs w:val="24"/>
          <w:shd w:val="clear" w:fill="FFFFFF"/>
        </w:rPr>
        <w:t>期限计算截止日期为接受报名截止日。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263452"/>
    <w:rsid w:val="31263452"/>
    <w:rsid w:val="5FB472F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page number"/>
    <w:basedOn w:val="4"/>
    <w:qFormat/>
    <w:uiPriority w:val="0"/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u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2022-05-23T03:22:00Z</dcterms:created>
  <dc:creator>人力资源部</dc:creator>
  <cp:lastModifiedBy>人力资源部</cp:lastModifiedBy>
  <dcterms:modified xsi:type="dcterms:W3CDTF">2022-05-23T06:29:37Z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