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41"/>
        <w:gridCol w:w="1155"/>
        <w:gridCol w:w="459"/>
        <w:gridCol w:w="801"/>
        <w:gridCol w:w="420"/>
        <w:gridCol w:w="450"/>
        <w:gridCol w:w="1095"/>
        <w:gridCol w:w="1125"/>
        <w:gridCol w:w="847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34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德州市中医院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2022年公开招聘合同制工作人员报名表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是否存在回避情形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73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1.应届毕业生；2.待业；3.在职事业单位人员；4.在职企业人员；5其他。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5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1.未取得；2.取得护士执业证；3.取得中医/临床医师资格证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所在科室及职务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343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我已仔细阅读本次聘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所填内容真实准确有效，如有不实之处，后果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43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3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960" w:firstLineChars="4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29726DE7"/>
    <w:rsid w:val="17332F06"/>
    <w:rsid w:val="29726DE7"/>
    <w:rsid w:val="7C6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2022-05-17T02:18:00Z</dcterms:created>
  <dc:creator>WPS_1484270893</dc:creator>
  <cp:lastModifiedBy>WPS_1484270893</cp:lastModifiedBy>
  <dcterms:modified xsi:type="dcterms:W3CDTF">2022-05-17T08:23:23Z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D9C779EC73E44CDEAFB60C9FC1DB7F5C</vt:lpwstr>
  </property>
</Properties>
</file>