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hint="eastAsia" w:ascii="宋体" w:hAnsi="宋体" w:cs="宋体"/>
          <w:b/>
          <w:color w:val="000000" w:themeColor="text1"/>
          <w:w w:val="85"/>
          <w:kern w:val="0"/>
          <w:sz w:val="44"/>
          <w:szCs w:val="44"/>
          <w:highlight w:val="none"/>
          <w14:textFill>
            <w14:solidFill>
              <w14:schemeClr w14:val="tx1"/>
            </w14:solidFill>
          </w14:textFill>
        </w:rPr>
      </w:pPr>
      <w:bookmarkStart w:id="0" w:name="_Toc6286_WPSOffice_Level1"/>
      <w:r>
        <w:rPr>
          <w:rFonts w:hint="eastAsia" w:ascii="宋体" w:hAnsi="宋体" w:cs="宋体"/>
          <w:b/>
          <w:color w:val="000000" w:themeColor="text1"/>
          <w:w w:val="85"/>
          <w:kern w:val="0"/>
          <w:sz w:val="44"/>
          <w:szCs w:val="44"/>
          <w:highlight w:val="none"/>
          <w:lang w:eastAsia="zh-CN"/>
          <w14:textFill>
            <w14:solidFill>
              <w14:schemeClr w14:val="tx1"/>
            </w14:solidFill>
          </w14:textFill>
        </w:rPr>
        <w:t>厦门医学院及其附属第二医院、附属口腔医院</w:t>
      </w:r>
      <w:r>
        <w:rPr>
          <w:rFonts w:hint="eastAsia" w:ascii="宋体" w:hAnsi="宋体" w:cs="宋体"/>
          <w:b/>
          <w:color w:val="000000" w:themeColor="text1"/>
          <w:w w:val="85"/>
          <w:kern w:val="0"/>
          <w:sz w:val="44"/>
          <w:szCs w:val="44"/>
          <w:highlight w:val="none"/>
          <w14:textFill>
            <w14:solidFill>
              <w14:schemeClr w14:val="tx1"/>
            </w14:solidFill>
          </w14:textFill>
        </w:rPr>
        <w:t>补充编内工作人员考试</w:t>
      </w:r>
      <w:bookmarkEnd w:id="0"/>
      <w:r>
        <w:rPr>
          <w:rFonts w:hint="eastAsia" w:ascii="宋体" w:hAnsi="宋体" w:cs="宋体"/>
          <w:b/>
          <w:color w:val="000000" w:themeColor="text1"/>
          <w:w w:val="85"/>
          <w:kern w:val="0"/>
          <w:sz w:val="44"/>
          <w:szCs w:val="44"/>
          <w:highlight w:val="none"/>
          <w:lang w:eastAsia="zh-CN"/>
          <w14:textFill>
            <w14:solidFill>
              <w14:schemeClr w14:val="tx1"/>
            </w14:solidFill>
          </w14:textFill>
        </w:rPr>
        <w:t>报考须知</w:t>
      </w:r>
      <w:r>
        <w:rPr>
          <w:rFonts w:hint="eastAsia" w:ascii="宋体" w:hAnsi="宋体" w:cs="宋体"/>
          <w:b/>
          <w:color w:val="000000" w:themeColor="text1"/>
          <w:w w:val="85"/>
          <w:kern w:val="0"/>
          <w:sz w:val="44"/>
          <w:szCs w:val="44"/>
          <w:highlight w:val="none"/>
          <w14:textFill>
            <w14:solidFill>
              <w14:schemeClr w14:val="tx1"/>
            </w14:solidFill>
          </w14:textFill>
        </w:rPr>
        <w:t>（</w:t>
      </w:r>
      <w:r>
        <w:rPr>
          <w:rFonts w:hint="eastAsia" w:ascii="宋体" w:hAnsi="宋体" w:cs="宋体"/>
          <w:b/>
          <w:color w:val="000000" w:themeColor="text1"/>
          <w:w w:val="85"/>
          <w:kern w:val="0"/>
          <w:sz w:val="44"/>
          <w:szCs w:val="44"/>
          <w:highlight w:val="none"/>
          <w:lang w:eastAsia="zh-CN"/>
          <w14:textFill>
            <w14:solidFill>
              <w14:schemeClr w14:val="tx1"/>
            </w14:solidFill>
          </w14:textFill>
        </w:rPr>
        <w:t>2022</w:t>
      </w:r>
      <w:r>
        <w:rPr>
          <w:rFonts w:hint="eastAsia" w:ascii="宋体" w:hAnsi="宋体" w:cs="宋体"/>
          <w:b/>
          <w:color w:val="000000" w:themeColor="text1"/>
          <w:w w:val="85"/>
          <w:kern w:val="0"/>
          <w:sz w:val="44"/>
          <w:szCs w:val="44"/>
          <w:highlight w:val="none"/>
          <w14:textFill>
            <w14:solidFill>
              <w14:schemeClr w14:val="tx1"/>
            </w14:solidFill>
          </w14:textFill>
        </w:rPr>
        <w:t>年</w:t>
      </w:r>
      <w:r>
        <w:rPr>
          <w:rFonts w:ascii="宋体" w:hAnsi="宋体" w:cs="宋体"/>
          <w:b/>
          <w:color w:val="000000" w:themeColor="text1"/>
          <w:w w:val="85"/>
          <w:kern w:val="0"/>
          <w:sz w:val="44"/>
          <w:szCs w:val="44"/>
          <w:highlight w:val="none"/>
          <w14:textFill>
            <w14:solidFill>
              <w14:schemeClr w14:val="tx1"/>
            </w14:solidFill>
          </w14:textFill>
        </w:rPr>
        <w:t>4</w:t>
      </w:r>
      <w:r>
        <w:rPr>
          <w:rFonts w:hint="eastAsia" w:ascii="宋体" w:hAnsi="宋体" w:cs="宋体"/>
          <w:b/>
          <w:color w:val="000000" w:themeColor="text1"/>
          <w:w w:val="85"/>
          <w:kern w:val="0"/>
          <w:sz w:val="44"/>
          <w:szCs w:val="44"/>
          <w:highlight w:val="none"/>
          <w14:textFill>
            <w14:solidFill>
              <w14:schemeClr w14:val="tx1"/>
            </w14:solidFill>
          </w14:textFill>
        </w:rPr>
        <w:t>月）</w:t>
      </w:r>
    </w:p>
    <w:p>
      <w:pPr>
        <w:adjustRightInd w:val="0"/>
        <w:jc w:val="center"/>
        <w:rPr>
          <w:rFonts w:hint="eastAsia" w:ascii="宋体" w:hAnsi="宋体" w:cs="宋体"/>
          <w:b/>
          <w:color w:val="000000" w:themeColor="text1"/>
          <w:w w:val="85"/>
          <w:kern w:val="0"/>
          <w:sz w:val="44"/>
          <w:szCs w:val="44"/>
          <w:highlight w:val="none"/>
          <w14:textFill>
            <w14:solidFill>
              <w14:schemeClr w14:val="tx1"/>
            </w14:solidFill>
          </w14:textFill>
        </w:rPr>
      </w:pPr>
    </w:p>
    <w:p>
      <w:pPr>
        <w:spacing w:after="312" w:afterLines="100" w:line="500" w:lineRule="exact"/>
        <w:jc w:val="center"/>
        <w:rPr>
          <w:rFonts w:hint="eastAsia" w:ascii="宋体" w:hAnsi="宋体"/>
          <w:b/>
          <w:bCs/>
          <w:color w:val="000000" w:themeColor="text1"/>
          <w:sz w:val="44"/>
          <w:szCs w:val="44"/>
          <w:highlight w:val="none"/>
          <w14:textFill>
            <w14:solidFill>
              <w14:schemeClr w14:val="tx1"/>
            </w14:solidFill>
          </w14:textFill>
        </w:rPr>
      </w:pPr>
      <w:r>
        <w:rPr>
          <w:rFonts w:hint="eastAsia" w:ascii="宋体" w:hAnsi="宋体"/>
          <w:b/>
          <w:bCs/>
          <w:color w:val="000000" w:themeColor="text1"/>
          <w:sz w:val="44"/>
          <w:szCs w:val="44"/>
          <w:highlight w:val="none"/>
          <w14:textFill>
            <w14:solidFill>
              <w14:schemeClr w14:val="tx1"/>
            </w14:solidFill>
          </w14:textFill>
        </w:rPr>
        <w:t>目录</w:t>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_Toc9741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一、基本条件</w:t>
      </w:r>
      <w:r>
        <w:rPr>
          <w:sz w:val="28"/>
          <w:szCs w:val="28"/>
        </w:rPr>
        <w:tab/>
      </w:r>
      <w:r>
        <w:rPr>
          <w:sz w:val="28"/>
          <w:szCs w:val="28"/>
        </w:rPr>
        <w:fldChar w:fldCharType="begin"/>
      </w:r>
      <w:r>
        <w:rPr>
          <w:sz w:val="28"/>
          <w:szCs w:val="28"/>
        </w:rPr>
        <w:instrText xml:space="preserve"> PAGEREF _Toc9741 \h </w:instrText>
      </w:r>
      <w:r>
        <w:rPr>
          <w:sz w:val="28"/>
          <w:szCs w:val="28"/>
        </w:rPr>
        <w:fldChar w:fldCharType="separate"/>
      </w:r>
      <w:r>
        <w:rPr>
          <w:sz w:val="28"/>
          <w:szCs w:val="28"/>
        </w:rPr>
        <w:t>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_Toc27206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二、不得报考或取消报考（聘用）资格的情形</w:t>
      </w:r>
      <w:r>
        <w:rPr>
          <w:sz w:val="28"/>
          <w:szCs w:val="28"/>
        </w:rPr>
        <w:tab/>
      </w:r>
      <w:r>
        <w:rPr>
          <w:sz w:val="28"/>
          <w:szCs w:val="28"/>
        </w:rPr>
        <w:fldChar w:fldCharType="begin"/>
      </w:r>
      <w:r>
        <w:rPr>
          <w:sz w:val="28"/>
          <w:szCs w:val="28"/>
        </w:rPr>
        <w:instrText xml:space="preserve"> PAGEREF _Toc27206 \h </w:instrText>
      </w:r>
      <w:r>
        <w:rPr>
          <w:sz w:val="28"/>
          <w:szCs w:val="28"/>
        </w:rPr>
        <w:fldChar w:fldCharType="separate"/>
      </w:r>
      <w:r>
        <w:rPr>
          <w:sz w:val="28"/>
          <w:szCs w:val="28"/>
        </w:rPr>
        <w:t>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_Toc9984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三、选报岗位须知</w:t>
      </w:r>
      <w:r>
        <w:rPr>
          <w:sz w:val="28"/>
          <w:szCs w:val="28"/>
        </w:rPr>
        <w:tab/>
      </w:r>
      <w:r>
        <w:rPr>
          <w:sz w:val="28"/>
          <w:szCs w:val="28"/>
        </w:rPr>
        <w:fldChar w:fldCharType="begin"/>
      </w:r>
      <w:r>
        <w:rPr>
          <w:sz w:val="28"/>
          <w:szCs w:val="28"/>
        </w:rPr>
        <w:instrText xml:space="preserve"> PAGEREF _Toc9984 \h </w:instrText>
      </w:r>
      <w:r>
        <w:rPr>
          <w:sz w:val="28"/>
          <w:szCs w:val="28"/>
        </w:rPr>
        <w:fldChar w:fldCharType="separate"/>
      </w:r>
      <w:r>
        <w:rPr>
          <w:sz w:val="28"/>
          <w:szCs w:val="28"/>
        </w:rPr>
        <w:t>2</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_Toc3729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（一）照片要求</w:t>
      </w:r>
      <w:r>
        <w:rPr>
          <w:sz w:val="28"/>
          <w:szCs w:val="28"/>
        </w:rPr>
        <w:tab/>
      </w:r>
      <w:r>
        <w:rPr>
          <w:sz w:val="28"/>
          <w:szCs w:val="28"/>
        </w:rPr>
        <w:fldChar w:fldCharType="begin"/>
      </w:r>
      <w:r>
        <w:rPr>
          <w:sz w:val="28"/>
          <w:szCs w:val="28"/>
        </w:rPr>
        <w:instrText xml:space="preserve"> PAGEREF _Toc3729 \h </w:instrText>
      </w:r>
      <w:r>
        <w:rPr>
          <w:sz w:val="28"/>
          <w:szCs w:val="28"/>
        </w:rPr>
        <w:fldChar w:fldCharType="separate"/>
      </w:r>
      <w:r>
        <w:rPr>
          <w:sz w:val="28"/>
          <w:szCs w:val="28"/>
        </w:rPr>
        <w:t>2</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_Toc4305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（二）回避情形</w:t>
      </w:r>
      <w:r>
        <w:rPr>
          <w:sz w:val="28"/>
          <w:szCs w:val="28"/>
        </w:rPr>
        <w:tab/>
      </w:r>
      <w:r>
        <w:rPr>
          <w:sz w:val="28"/>
          <w:szCs w:val="28"/>
        </w:rPr>
        <w:fldChar w:fldCharType="begin"/>
      </w:r>
      <w:r>
        <w:rPr>
          <w:sz w:val="28"/>
          <w:szCs w:val="28"/>
        </w:rPr>
        <w:instrText xml:space="preserve"> PAGEREF _Toc4305 \h </w:instrText>
      </w:r>
      <w:r>
        <w:rPr>
          <w:sz w:val="28"/>
          <w:szCs w:val="28"/>
        </w:rPr>
        <w:fldChar w:fldCharType="separate"/>
      </w:r>
      <w:r>
        <w:rPr>
          <w:sz w:val="28"/>
          <w:szCs w:val="28"/>
        </w:rPr>
        <w:t>3</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_Toc26789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（三）岗位开考</w:t>
      </w:r>
      <w:r>
        <w:rPr>
          <w:sz w:val="28"/>
          <w:szCs w:val="28"/>
        </w:rPr>
        <w:tab/>
      </w:r>
      <w:r>
        <w:rPr>
          <w:sz w:val="28"/>
          <w:szCs w:val="28"/>
        </w:rPr>
        <w:fldChar w:fldCharType="begin"/>
      </w:r>
      <w:r>
        <w:rPr>
          <w:sz w:val="28"/>
          <w:szCs w:val="28"/>
        </w:rPr>
        <w:instrText xml:space="preserve"> PAGEREF _Toc26789 \h </w:instrText>
      </w:r>
      <w:r>
        <w:rPr>
          <w:sz w:val="28"/>
          <w:szCs w:val="28"/>
        </w:rPr>
        <w:fldChar w:fldCharType="separate"/>
      </w:r>
      <w:r>
        <w:rPr>
          <w:sz w:val="28"/>
          <w:szCs w:val="28"/>
        </w:rPr>
        <w:t>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_Toc26906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四、资格复核</w:t>
      </w:r>
      <w:r>
        <w:rPr>
          <w:sz w:val="28"/>
          <w:szCs w:val="28"/>
        </w:rPr>
        <w:tab/>
      </w:r>
      <w:r>
        <w:rPr>
          <w:sz w:val="28"/>
          <w:szCs w:val="28"/>
        </w:rPr>
        <w:fldChar w:fldCharType="begin"/>
      </w:r>
      <w:r>
        <w:rPr>
          <w:sz w:val="28"/>
          <w:szCs w:val="28"/>
        </w:rPr>
        <w:instrText xml:space="preserve"> PAGEREF _Toc26906 \h </w:instrText>
      </w:r>
      <w:r>
        <w:rPr>
          <w:sz w:val="28"/>
          <w:szCs w:val="28"/>
        </w:rPr>
        <w:fldChar w:fldCharType="separate"/>
      </w:r>
      <w:r>
        <w:rPr>
          <w:sz w:val="28"/>
          <w:szCs w:val="28"/>
        </w:rPr>
        <w:t>5</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_Toc9434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五、年龄、资格（历）等的计算办法</w:t>
      </w:r>
      <w:r>
        <w:rPr>
          <w:sz w:val="28"/>
          <w:szCs w:val="28"/>
        </w:rPr>
        <w:tab/>
      </w:r>
      <w:r>
        <w:rPr>
          <w:sz w:val="28"/>
          <w:szCs w:val="28"/>
        </w:rPr>
        <w:fldChar w:fldCharType="begin"/>
      </w:r>
      <w:r>
        <w:rPr>
          <w:sz w:val="28"/>
          <w:szCs w:val="28"/>
        </w:rPr>
        <w:instrText xml:space="preserve"> PAGEREF _Toc9434 \h </w:instrText>
      </w:r>
      <w:r>
        <w:rPr>
          <w:sz w:val="28"/>
          <w:szCs w:val="28"/>
        </w:rPr>
        <w:fldChar w:fldCharType="separate"/>
      </w:r>
      <w:r>
        <w:rPr>
          <w:sz w:val="28"/>
          <w:szCs w:val="28"/>
        </w:rPr>
        <w:t>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_Toc31598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（一）年龄</w:t>
      </w:r>
      <w:r>
        <w:rPr>
          <w:sz w:val="28"/>
          <w:szCs w:val="28"/>
        </w:rPr>
        <w:tab/>
      </w:r>
      <w:r>
        <w:rPr>
          <w:sz w:val="28"/>
          <w:szCs w:val="28"/>
        </w:rPr>
        <w:fldChar w:fldCharType="begin"/>
      </w:r>
      <w:r>
        <w:rPr>
          <w:sz w:val="28"/>
          <w:szCs w:val="28"/>
        </w:rPr>
        <w:instrText xml:space="preserve"> PAGEREF _Toc31598 \h </w:instrText>
      </w:r>
      <w:r>
        <w:rPr>
          <w:sz w:val="28"/>
          <w:szCs w:val="28"/>
        </w:rPr>
        <w:fldChar w:fldCharType="separate"/>
      </w:r>
      <w:r>
        <w:rPr>
          <w:sz w:val="28"/>
          <w:szCs w:val="28"/>
        </w:rPr>
        <w:t>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_Toc22183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rPr>
        <w:t>（二）资格（历）等</w:t>
      </w:r>
      <w:r>
        <w:rPr>
          <w:sz w:val="28"/>
          <w:szCs w:val="28"/>
        </w:rPr>
        <w:tab/>
      </w:r>
      <w:r>
        <w:rPr>
          <w:sz w:val="28"/>
          <w:szCs w:val="28"/>
        </w:rPr>
        <w:fldChar w:fldCharType="begin"/>
      </w:r>
      <w:r>
        <w:rPr>
          <w:sz w:val="28"/>
          <w:szCs w:val="28"/>
        </w:rPr>
        <w:instrText xml:space="preserve"> PAGEREF _Toc22183 \h </w:instrText>
      </w:r>
      <w:r>
        <w:rPr>
          <w:sz w:val="28"/>
          <w:szCs w:val="28"/>
        </w:rPr>
        <w:fldChar w:fldCharType="separate"/>
      </w:r>
      <w:r>
        <w:rPr>
          <w:sz w:val="28"/>
          <w:szCs w:val="28"/>
        </w:rPr>
        <w:t>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_Toc29396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六、学历（位）认定</w:t>
      </w:r>
      <w:r>
        <w:rPr>
          <w:sz w:val="28"/>
          <w:szCs w:val="28"/>
        </w:rPr>
        <w:tab/>
      </w:r>
      <w:r>
        <w:rPr>
          <w:sz w:val="28"/>
          <w:szCs w:val="28"/>
        </w:rPr>
        <w:fldChar w:fldCharType="begin"/>
      </w:r>
      <w:r>
        <w:rPr>
          <w:sz w:val="28"/>
          <w:szCs w:val="28"/>
        </w:rPr>
        <w:instrText xml:space="preserve"> PAGEREF _Toc29396 \h </w:instrText>
      </w:r>
      <w:r>
        <w:rPr>
          <w:sz w:val="28"/>
          <w:szCs w:val="28"/>
        </w:rPr>
        <w:fldChar w:fldCharType="separate"/>
      </w:r>
      <w:r>
        <w:rPr>
          <w:sz w:val="28"/>
          <w:szCs w:val="28"/>
        </w:rPr>
        <w:t>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_Toc29879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（一）境内学历（位）</w:t>
      </w:r>
      <w:r>
        <w:rPr>
          <w:sz w:val="28"/>
          <w:szCs w:val="28"/>
        </w:rPr>
        <w:tab/>
      </w:r>
      <w:r>
        <w:rPr>
          <w:sz w:val="28"/>
          <w:szCs w:val="28"/>
        </w:rPr>
        <w:fldChar w:fldCharType="begin"/>
      </w:r>
      <w:r>
        <w:rPr>
          <w:sz w:val="28"/>
          <w:szCs w:val="28"/>
        </w:rPr>
        <w:instrText xml:space="preserve"> PAGEREF _Toc29879 \h </w:instrText>
      </w:r>
      <w:r>
        <w:rPr>
          <w:sz w:val="28"/>
          <w:szCs w:val="28"/>
        </w:rPr>
        <w:fldChar w:fldCharType="separate"/>
      </w:r>
      <w:r>
        <w:rPr>
          <w:sz w:val="28"/>
          <w:szCs w:val="28"/>
        </w:rPr>
        <w:t>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_Toc3071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（二）国（境）外学历（位）</w:t>
      </w:r>
      <w:r>
        <w:rPr>
          <w:sz w:val="28"/>
          <w:szCs w:val="28"/>
        </w:rPr>
        <w:tab/>
      </w:r>
      <w:r>
        <w:rPr>
          <w:sz w:val="28"/>
          <w:szCs w:val="28"/>
        </w:rPr>
        <w:fldChar w:fldCharType="begin"/>
      </w:r>
      <w:r>
        <w:rPr>
          <w:sz w:val="28"/>
          <w:szCs w:val="28"/>
        </w:rPr>
        <w:instrText xml:space="preserve"> PAGEREF _Toc3071 \h </w:instrText>
      </w:r>
      <w:r>
        <w:rPr>
          <w:sz w:val="28"/>
          <w:szCs w:val="28"/>
        </w:rPr>
        <w:fldChar w:fldCharType="separate"/>
      </w:r>
      <w:r>
        <w:rPr>
          <w:sz w:val="28"/>
          <w:szCs w:val="28"/>
        </w:rPr>
        <w:t>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_Toc20163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（三）福建省“双学位”“双专业”学历</w:t>
      </w:r>
      <w:r>
        <w:rPr>
          <w:sz w:val="28"/>
          <w:szCs w:val="28"/>
        </w:rPr>
        <w:tab/>
      </w:r>
      <w:r>
        <w:rPr>
          <w:sz w:val="28"/>
          <w:szCs w:val="28"/>
        </w:rPr>
        <w:fldChar w:fldCharType="begin"/>
      </w:r>
      <w:r>
        <w:rPr>
          <w:sz w:val="28"/>
          <w:szCs w:val="28"/>
        </w:rPr>
        <w:instrText xml:space="preserve"> PAGEREF _Toc20163 \h </w:instrText>
      </w:r>
      <w:r>
        <w:rPr>
          <w:sz w:val="28"/>
          <w:szCs w:val="28"/>
        </w:rPr>
        <w:fldChar w:fldCharType="separate"/>
      </w:r>
      <w:r>
        <w:rPr>
          <w:sz w:val="28"/>
          <w:szCs w:val="28"/>
        </w:rPr>
        <w:t>8</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_Toc3665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（四）提醒事项</w:t>
      </w:r>
      <w:r>
        <w:rPr>
          <w:sz w:val="28"/>
          <w:szCs w:val="28"/>
        </w:rPr>
        <w:tab/>
      </w:r>
      <w:r>
        <w:rPr>
          <w:sz w:val="28"/>
          <w:szCs w:val="28"/>
        </w:rPr>
        <w:fldChar w:fldCharType="begin"/>
      </w:r>
      <w:r>
        <w:rPr>
          <w:sz w:val="28"/>
          <w:szCs w:val="28"/>
        </w:rPr>
        <w:instrText xml:space="preserve"> PAGEREF _Toc3665 \h </w:instrText>
      </w:r>
      <w:r>
        <w:rPr>
          <w:sz w:val="28"/>
          <w:szCs w:val="28"/>
        </w:rPr>
        <w:fldChar w:fldCharType="separate"/>
      </w:r>
      <w:r>
        <w:rPr>
          <w:sz w:val="28"/>
          <w:szCs w:val="28"/>
        </w:rPr>
        <w:t>8</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_Toc4872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七、专业认定</w:t>
      </w:r>
      <w:r>
        <w:rPr>
          <w:sz w:val="28"/>
          <w:szCs w:val="28"/>
        </w:rPr>
        <w:tab/>
      </w:r>
      <w:r>
        <w:rPr>
          <w:sz w:val="28"/>
          <w:szCs w:val="28"/>
        </w:rPr>
        <w:fldChar w:fldCharType="begin"/>
      </w:r>
      <w:r>
        <w:rPr>
          <w:sz w:val="28"/>
          <w:szCs w:val="28"/>
        </w:rPr>
        <w:instrText xml:space="preserve"> PAGEREF _Toc4872 \h </w:instrText>
      </w:r>
      <w:r>
        <w:rPr>
          <w:sz w:val="28"/>
          <w:szCs w:val="28"/>
        </w:rPr>
        <w:fldChar w:fldCharType="separate"/>
      </w:r>
      <w:r>
        <w:rPr>
          <w:sz w:val="28"/>
          <w:szCs w:val="28"/>
        </w:rPr>
        <w:t>9</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_Toc27118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（一）填报专业名称</w:t>
      </w:r>
      <w:r>
        <w:rPr>
          <w:sz w:val="28"/>
          <w:szCs w:val="28"/>
        </w:rPr>
        <w:tab/>
      </w:r>
      <w:r>
        <w:rPr>
          <w:sz w:val="28"/>
          <w:szCs w:val="28"/>
        </w:rPr>
        <w:fldChar w:fldCharType="begin"/>
      </w:r>
      <w:r>
        <w:rPr>
          <w:sz w:val="28"/>
          <w:szCs w:val="28"/>
        </w:rPr>
        <w:instrText xml:space="preserve"> PAGEREF _Toc27118 \h </w:instrText>
      </w:r>
      <w:r>
        <w:rPr>
          <w:sz w:val="28"/>
          <w:szCs w:val="28"/>
        </w:rPr>
        <w:fldChar w:fldCharType="separate"/>
      </w:r>
      <w:r>
        <w:rPr>
          <w:sz w:val="28"/>
          <w:szCs w:val="28"/>
        </w:rPr>
        <w:t>9</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_Toc26766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（二）专业与学历（位）的对应关系</w:t>
      </w:r>
      <w:r>
        <w:rPr>
          <w:sz w:val="28"/>
          <w:szCs w:val="28"/>
        </w:rPr>
        <w:tab/>
      </w:r>
      <w:r>
        <w:rPr>
          <w:sz w:val="28"/>
          <w:szCs w:val="28"/>
        </w:rPr>
        <w:fldChar w:fldCharType="begin"/>
      </w:r>
      <w:r>
        <w:rPr>
          <w:sz w:val="28"/>
          <w:szCs w:val="28"/>
        </w:rPr>
        <w:instrText xml:space="preserve"> PAGEREF _Toc26766 \h </w:instrText>
      </w:r>
      <w:r>
        <w:rPr>
          <w:sz w:val="28"/>
          <w:szCs w:val="28"/>
        </w:rPr>
        <w:fldChar w:fldCharType="separate"/>
      </w:r>
      <w:r>
        <w:rPr>
          <w:sz w:val="28"/>
          <w:szCs w:val="28"/>
        </w:rPr>
        <w:t>9</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_Toc2918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（三）专业资格的认定</w:t>
      </w:r>
      <w:r>
        <w:rPr>
          <w:sz w:val="28"/>
          <w:szCs w:val="28"/>
        </w:rPr>
        <w:tab/>
      </w:r>
      <w:r>
        <w:rPr>
          <w:sz w:val="28"/>
          <w:szCs w:val="28"/>
        </w:rPr>
        <w:fldChar w:fldCharType="begin"/>
      </w:r>
      <w:r>
        <w:rPr>
          <w:sz w:val="28"/>
          <w:szCs w:val="28"/>
        </w:rPr>
        <w:instrText xml:space="preserve"> PAGEREF _Toc2918 \h </w:instrText>
      </w:r>
      <w:r>
        <w:rPr>
          <w:sz w:val="28"/>
          <w:szCs w:val="28"/>
        </w:rPr>
        <w:fldChar w:fldCharType="separate"/>
      </w:r>
      <w:r>
        <w:rPr>
          <w:sz w:val="28"/>
          <w:szCs w:val="28"/>
        </w:rPr>
        <w:t>10</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_Toc3238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八、工作经验认定</w:t>
      </w:r>
      <w:r>
        <w:rPr>
          <w:sz w:val="28"/>
          <w:szCs w:val="28"/>
        </w:rPr>
        <w:tab/>
      </w:r>
      <w:r>
        <w:rPr>
          <w:sz w:val="28"/>
          <w:szCs w:val="28"/>
        </w:rPr>
        <w:fldChar w:fldCharType="begin"/>
      </w:r>
      <w:r>
        <w:rPr>
          <w:sz w:val="28"/>
          <w:szCs w:val="28"/>
        </w:rPr>
        <w:instrText xml:space="preserve"> PAGEREF _Toc3238 \h </w:instrText>
      </w:r>
      <w:r>
        <w:rPr>
          <w:sz w:val="28"/>
          <w:szCs w:val="28"/>
        </w:rPr>
        <w:fldChar w:fldCharType="separate"/>
      </w:r>
      <w:r>
        <w:rPr>
          <w:sz w:val="28"/>
          <w:szCs w:val="28"/>
        </w:rPr>
        <w:t>10</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_Toc14788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九、笔试加分</w:t>
      </w:r>
      <w:r>
        <w:rPr>
          <w:sz w:val="28"/>
          <w:szCs w:val="28"/>
        </w:rPr>
        <w:tab/>
      </w:r>
      <w:r>
        <w:rPr>
          <w:sz w:val="28"/>
          <w:szCs w:val="28"/>
        </w:rPr>
        <w:fldChar w:fldCharType="begin"/>
      </w:r>
      <w:r>
        <w:rPr>
          <w:sz w:val="28"/>
          <w:szCs w:val="28"/>
        </w:rPr>
        <w:instrText xml:space="preserve"> PAGEREF _Toc14788 \h </w:instrText>
      </w:r>
      <w:r>
        <w:rPr>
          <w:sz w:val="28"/>
          <w:szCs w:val="28"/>
        </w:rPr>
        <w:fldChar w:fldCharType="separate"/>
      </w:r>
      <w:r>
        <w:rPr>
          <w:sz w:val="28"/>
          <w:szCs w:val="28"/>
        </w:rPr>
        <w:t>11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_Toc5437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（一）加分原则</w:t>
      </w:r>
      <w:r>
        <w:rPr>
          <w:sz w:val="28"/>
          <w:szCs w:val="28"/>
        </w:rPr>
        <w:tab/>
      </w:r>
      <w:r>
        <w:rPr>
          <w:sz w:val="28"/>
          <w:szCs w:val="28"/>
        </w:rPr>
        <w:fldChar w:fldCharType="begin"/>
      </w:r>
      <w:r>
        <w:rPr>
          <w:sz w:val="28"/>
          <w:szCs w:val="28"/>
        </w:rPr>
        <w:instrText xml:space="preserve"> PAGEREF _Toc5437 \h </w:instrText>
      </w:r>
      <w:r>
        <w:rPr>
          <w:sz w:val="28"/>
          <w:szCs w:val="28"/>
        </w:rPr>
        <w:fldChar w:fldCharType="separate"/>
      </w:r>
      <w:r>
        <w:rPr>
          <w:sz w:val="28"/>
          <w:szCs w:val="28"/>
        </w:rPr>
        <w:t>11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_Toc14854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（二）加分政策</w:t>
      </w:r>
      <w:r>
        <w:rPr>
          <w:sz w:val="28"/>
          <w:szCs w:val="28"/>
        </w:rPr>
        <w:tab/>
      </w:r>
      <w:r>
        <w:rPr>
          <w:sz w:val="28"/>
          <w:szCs w:val="28"/>
        </w:rPr>
        <w:fldChar w:fldCharType="begin"/>
      </w:r>
      <w:r>
        <w:rPr>
          <w:sz w:val="28"/>
          <w:szCs w:val="28"/>
        </w:rPr>
        <w:instrText xml:space="preserve"> PAGEREF _Toc14854 \h </w:instrText>
      </w:r>
      <w:r>
        <w:rPr>
          <w:sz w:val="28"/>
          <w:szCs w:val="28"/>
        </w:rPr>
        <w:fldChar w:fldCharType="separate"/>
      </w:r>
      <w:r>
        <w:rPr>
          <w:sz w:val="28"/>
          <w:szCs w:val="28"/>
        </w:rPr>
        <w:t>11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_Toc26877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（三）加分证明</w:t>
      </w:r>
      <w:r>
        <w:rPr>
          <w:sz w:val="28"/>
          <w:szCs w:val="28"/>
        </w:rPr>
        <w:tab/>
      </w:r>
      <w:r>
        <w:rPr>
          <w:sz w:val="28"/>
          <w:szCs w:val="28"/>
        </w:rPr>
        <w:fldChar w:fldCharType="begin"/>
      </w:r>
      <w:r>
        <w:rPr>
          <w:sz w:val="28"/>
          <w:szCs w:val="28"/>
        </w:rPr>
        <w:instrText xml:space="preserve"> PAGEREF _Toc26877 \h </w:instrText>
      </w:r>
      <w:r>
        <w:rPr>
          <w:sz w:val="28"/>
          <w:szCs w:val="28"/>
        </w:rPr>
        <w:fldChar w:fldCharType="separate"/>
      </w:r>
      <w:r>
        <w:rPr>
          <w:sz w:val="28"/>
          <w:szCs w:val="28"/>
        </w:rPr>
        <w:t>13</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_Toc21511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十、体检</w:t>
      </w:r>
      <w:r>
        <w:rPr>
          <w:sz w:val="28"/>
          <w:szCs w:val="28"/>
        </w:rPr>
        <w:tab/>
      </w:r>
      <w:r>
        <w:rPr>
          <w:sz w:val="28"/>
          <w:szCs w:val="28"/>
        </w:rPr>
        <w:fldChar w:fldCharType="begin"/>
      </w:r>
      <w:r>
        <w:rPr>
          <w:sz w:val="28"/>
          <w:szCs w:val="28"/>
        </w:rPr>
        <w:instrText xml:space="preserve"> PAGEREF _Toc21511 \h </w:instrText>
      </w:r>
      <w:r>
        <w:rPr>
          <w:sz w:val="28"/>
          <w:szCs w:val="28"/>
        </w:rPr>
        <w:fldChar w:fldCharType="separate"/>
      </w:r>
      <w:r>
        <w:rPr>
          <w:sz w:val="28"/>
          <w:szCs w:val="28"/>
        </w:rPr>
        <w:t>14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_Toc28070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（一）确定体检人选</w:t>
      </w:r>
      <w:r>
        <w:rPr>
          <w:sz w:val="28"/>
          <w:szCs w:val="28"/>
        </w:rPr>
        <w:tab/>
      </w:r>
      <w:r>
        <w:rPr>
          <w:sz w:val="28"/>
          <w:szCs w:val="28"/>
        </w:rPr>
        <w:fldChar w:fldCharType="begin"/>
      </w:r>
      <w:r>
        <w:rPr>
          <w:sz w:val="28"/>
          <w:szCs w:val="28"/>
        </w:rPr>
        <w:instrText xml:space="preserve"> PAGEREF _Toc28070 \h </w:instrText>
      </w:r>
      <w:r>
        <w:rPr>
          <w:sz w:val="28"/>
          <w:szCs w:val="28"/>
        </w:rPr>
        <w:fldChar w:fldCharType="separate"/>
      </w:r>
      <w:r>
        <w:rPr>
          <w:sz w:val="28"/>
          <w:szCs w:val="28"/>
        </w:rPr>
        <w:t>14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_Toc23558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（二）组织体检</w:t>
      </w:r>
      <w:r>
        <w:rPr>
          <w:sz w:val="28"/>
          <w:szCs w:val="28"/>
        </w:rPr>
        <w:tab/>
      </w:r>
      <w:r>
        <w:rPr>
          <w:sz w:val="28"/>
          <w:szCs w:val="28"/>
        </w:rPr>
        <w:fldChar w:fldCharType="begin"/>
      </w:r>
      <w:r>
        <w:rPr>
          <w:sz w:val="28"/>
          <w:szCs w:val="28"/>
        </w:rPr>
        <w:instrText xml:space="preserve"> PAGEREF _Toc23558 \h </w:instrText>
      </w:r>
      <w:r>
        <w:rPr>
          <w:sz w:val="28"/>
          <w:szCs w:val="28"/>
        </w:rPr>
        <w:fldChar w:fldCharType="separate"/>
      </w:r>
      <w:r>
        <w:rPr>
          <w:sz w:val="28"/>
          <w:szCs w:val="28"/>
        </w:rPr>
        <w:t>14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_Toc15585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（三）体检依据</w:t>
      </w:r>
      <w:r>
        <w:rPr>
          <w:sz w:val="28"/>
          <w:szCs w:val="28"/>
        </w:rPr>
        <w:tab/>
      </w:r>
      <w:r>
        <w:rPr>
          <w:sz w:val="28"/>
          <w:szCs w:val="28"/>
        </w:rPr>
        <w:fldChar w:fldCharType="begin"/>
      </w:r>
      <w:r>
        <w:rPr>
          <w:sz w:val="28"/>
          <w:szCs w:val="28"/>
        </w:rPr>
        <w:instrText xml:space="preserve"> PAGEREF _Toc15585 \h </w:instrText>
      </w:r>
      <w:r>
        <w:rPr>
          <w:sz w:val="28"/>
          <w:szCs w:val="28"/>
        </w:rPr>
        <w:fldChar w:fldCharType="separate"/>
      </w:r>
      <w:r>
        <w:rPr>
          <w:sz w:val="28"/>
          <w:szCs w:val="28"/>
        </w:rPr>
        <w:t>14</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_Toc15688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（四）体检复检</w:t>
      </w:r>
      <w:r>
        <w:rPr>
          <w:sz w:val="28"/>
          <w:szCs w:val="28"/>
        </w:rPr>
        <w:tab/>
      </w:r>
      <w:r>
        <w:rPr>
          <w:sz w:val="28"/>
          <w:szCs w:val="28"/>
        </w:rPr>
        <w:fldChar w:fldCharType="begin"/>
      </w:r>
      <w:r>
        <w:rPr>
          <w:sz w:val="28"/>
          <w:szCs w:val="28"/>
        </w:rPr>
        <w:instrText xml:space="preserve"> PAGEREF _Toc15688 \h </w:instrText>
      </w:r>
      <w:r>
        <w:rPr>
          <w:sz w:val="28"/>
          <w:szCs w:val="28"/>
        </w:rPr>
        <w:fldChar w:fldCharType="separate"/>
      </w:r>
      <w:r>
        <w:rPr>
          <w:sz w:val="28"/>
          <w:szCs w:val="28"/>
        </w:rPr>
        <w:t>15</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_Toc7769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（五）可延迟体检的情形</w:t>
      </w:r>
      <w:r>
        <w:rPr>
          <w:sz w:val="28"/>
          <w:szCs w:val="28"/>
        </w:rPr>
        <w:tab/>
      </w:r>
      <w:r>
        <w:rPr>
          <w:sz w:val="28"/>
          <w:szCs w:val="28"/>
        </w:rPr>
        <w:fldChar w:fldCharType="begin"/>
      </w:r>
      <w:r>
        <w:rPr>
          <w:sz w:val="28"/>
          <w:szCs w:val="28"/>
        </w:rPr>
        <w:instrText xml:space="preserve"> PAGEREF _Toc7769 \h </w:instrText>
      </w:r>
      <w:r>
        <w:rPr>
          <w:sz w:val="28"/>
          <w:szCs w:val="28"/>
        </w:rPr>
        <w:fldChar w:fldCharType="separate"/>
      </w:r>
      <w:r>
        <w:rPr>
          <w:sz w:val="28"/>
          <w:szCs w:val="28"/>
        </w:rPr>
        <w:t>15</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_Toc13000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十一、考察</w:t>
      </w:r>
      <w:r>
        <w:rPr>
          <w:sz w:val="28"/>
          <w:szCs w:val="28"/>
        </w:rPr>
        <w:tab/>
      </w:r>
      <w:r>
        <w:rPr>
          <w:sz w:val="28"/>
          <w:szCs w:val="28"/>
        </w:rPr>
        <w:fldChar w:fldCharType="begin"/>
      </w:r>
      <w:r>
        <w:rPr>
          <w:sz w:val="28"/>
          <w:szCs w:val="28"/>
        </w:rPr>
        <w:instrText xml:space="preserve"> PAGEREF _Toc13000 \h </w:instrText>
      </w:r>
      <w:r>
        <w:rPr>
          <w:sz w:val="28"/>
          <w:szCs w:val="28"/>
        </w:rPr>
        <w:fldChar w:fldCharType="separate"/>
      </w:r>
      <w:r>
        <w:rPr>
          <w:sz w:val="28"/>
          <w:szCs w:val="28"/>
        </w:rPr>
        <w:t>16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_Toc29510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十二、聘用</w:t>
      </w:r>
      <w:r>
        <w:rPr>
          <w:sz w:val="28"/>
          <w:szCs w:val="28"/>
        </w:rPr>
        <w:tab/>
      </w:r>
      <w:r>
        <w:rPr>
          <w:sz w:val="28"/>
          <w:szCs w:val="28"/>
        </w:rPr>
        <w:fldChar w:fldCharType="begin"/>
      </w:r>
      <w:r>
        <w:rPr>
          <w:sz w:val="28"/>
          <w:szCs w:val="28"/>
        </w:rPr>
        <w:instrText xml:space="preserve"> PAGEREF _Toc29510 \h </w:instrText>
      </w:r>
      <w:r>
        <w:rPr>
          <w:sz w:val="28"/>
          <w:szCs w:val="28"/>
        </w:rPr>
        <w:fldChar w:fldCharType="separate"/>
      </w:r>
      <w:r>
        <w:rPr>
          <w:sz w:val="28"/>
          <w:szCs w:val="28"/>
        </w:rPr>
        <w:t>16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_Toc2648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（一）手续办理</w:t>
      </w:r>
      <w:r>
        <w:rPr>
          <w:sz w:val="28"/>
          <w:szCs w:val="28"/>
        </w:rPr>
        <w:tab/>
      </w:r>
      <w:r>
        <w:rPr>
          <w:sz w:val="28"/>
          <w:szCs w:val="28"/>
        </w:rPr>
        <w:fldChar w:fldCharType="begin"/>
      </w:r>
      <w:r>
        <w:rPr>
          <w:sz w:val="28"/>
          <w:szCs w:val="28"/>
        </w:rPr>
        <w:instrText xml:space="preserve"> PAGEREF _Toc2648 \h </w:instrText>
      </w:r>
      <w:r>
        <w:rPr>
          <w:sz w:val="28"/>
          <w:szCs w:val="28"/>
        </w:rPr>
        <w:fldChar w:fldCharType="separate"/>
      </w:r>
      <w:r>
        <w:rPr>
          <w:sz w:val="28"/>
          <w:szCs w:val="28"/>
        </w:rPr>
        <w:t>16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_Toc1452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（二）岗位聘任</w:t>
      </w:r>
      <w:r>
        <w:rPr>
          <w:sz w:val="28"/>
          <w:szCs w:val="28"/>
        </w:rPr>
        <w:tab/>
      </w:r>
      <w:r>
        <w:rPr>
          <w:sz w:val="28"/>
          <w:szCs w:val="28"/>
        </w:rPr>
        <w:fldChar w:fldCharType="begin"/>
      </w:r>
      <w:r>
        <w:rPr>
          <w:sz w:val="28"/>
          <w:szCs w:val="28"/>
        </w:rPr>
        <w:instrText xml:space="preserve"> PAGEREF _Toc1452 \h </w:instrText>
      </w:r>
      <w:r>
        <w:rPr>
          <w:sz w:val="28"/>
          <w:szCs w:val="28"/>
        </w:rPr>
        <w:fldChar w:fldCharType="separate"/>
      </w:r>
      <w:r>
        <w:rPr>
          <w:sz w:val="28"/>
          <w:szCs w:val="28"/>
        </w:rPr>
        <w:t>16</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_Toc13188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十三、其他事项</w:t>
      </w:r>
      <w:r>
        <w:rPr>
          <w:sz w:val="28"/>
          <w:szCs w:val="28"/>
        </w:rPr>
        <w:tab/>
      </w:r>
      <w:r>
        <w:rPr>
          <w:sz w:val="28"/>
          <w:szCs w:val="28"/>
        </w:rPr>
        <w:fldChar w:fldCharType="begin"/>
      </w:r>
      <w:r>
        <w:rPr>
          <w:sz w:val="28"/>
          <w:szCs w:val="28"/>
        </w:rPr>
        <w:instrText xml:space="preserve"> PAGEREF _Toc13188 \h </w:instrText>
      </w:r>
      <w:r>
        <w:rPr>
          <w:sz w:val="28"/>
          <w:szCs w:val="28"/>
        </w:rPr>
        <w:fldChar w:fldCharType="separate"/>
      </w:r>
      <w:r>
        <w:rPr>
          <w:sz w:val="28"/>
          <w:szCs w:val="28"/>
        </w:rPr>
        <w:t>17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_Toc26162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（一）中共党员</w:t>
      </w:r>
      <w:r>
        <w:rPr>
          <w:sz w:val="28"/>
          <w:szCs w:val="28"/>
        </w:rPr>
        <w:tab/>
      </w:r>
      <w:r>
        <w:rPr>
          <w:sz w:val="28"/>
          <w:szCs w:val="28"/>
        </w:rPr>
        <w:fldChar w:fldCharType="begin"/>
      </w:r>
      <w:r>
        <w:rPr>
          <w:sz w:val="28"/>
          <w:szCs w:val="28"/>
        </w:rPr>
        <w:instrText xml:space="preserve"> PAGEREF _Toc26162 \h </w:instrText>
      </w:r>
      <w:r>
        <w:rPr>
          <w:sz w:val="28"/>
          <w:szCs w:val="28"/>
        </w:rPr>
        <w:fldChar w:fldCharType="separate"/>
      </w:r>
      <w:r>
        <w:rPr>
          <w:sz w:val="28"/>
          <w:szCs w:val="28"/>
        </w:rPr>
        <w:t>17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_Toc1653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（二）职称</w:t>
      </w:r>
      <w:r>
        <w:rPr>
          <w:sz w:val="28"/>
          <w:szCs w:val="28"/>
        </w:rPr>
        <w:tab/>
      </w:r>
      <w:r>
        <w:rPr>
          <w:sz w:val="28"/>
          <w:szCs w:val="28"/>
        </w:rPr>
        <w:fldChar w:fldCharType="begin"/>
      </w:r>
      <w:r>
        <w:rPr>
          <w:sz w:val="28"/>
          <w:szCs w:val="28"/>
        </w:rPr>
        <w:instrText xml:space="preserve"> PAGEREF _Toc1653 \h </w:instrText>
      </w:r>
      <w:r>
        <w:rPr>
          <w:sz w:val="28"/>
          <w:szCs w:val="28"/>
        </w:rPr>
        <w:fldChar w:fldCharType="separate"/>
      </w:r>
      <w:r>
        <w:rPr>
          <w:sz w:val="28"/>
          <w:szCs w:val="28"/>
        </w:rPr>
        <w:t>17</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_Toc30197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（三）规范化培训</w:t>
      </w:r>
      <w:r>
        <w:rPr>
          <w:sz w:val="28"/>
          <w:szCs w:val="28"/>
        </w:rPr>
        <w:tab/>
      </w:r>
      <w:r>
        <w:rPr>
          <w:sz w:val="28"/>
          <w:szCs w:val="28"/>
        </w:rPr>
        <w:fldChar w:fldCharType="begin"/>
      </w:r>
      <w:r>
        <w:rPr>
          <w:sz w:val="28"/>
          <w:szCs w:val="28"/>
        </w:rPr>
        <w:instrText xml:space="preserve"> PAGEREF _Toc30197 \h </w:instrText>
      </w:r>
      <w:r>
        <w:rPr>
          <w:sz w:val="28"/>
          <w:szCs w:val="28"/>
        </w:rPr>
        <w:fldChar w:fldCharType="separate"/>
      </w:r>
      <w:r>
        <w:rPr>
          <w:sz w:val="28"/>
          <w:szCs w:val="28"/>
        </w:rPr>
        <w:t>18</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_Toc2822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（四）应届高校毕业生</w:t>
      </w:r>
      <w:r>
        <w:rPr>
          <w:sz w:val="28"/>
          <w:szCs w:val="28"/>
        </w:rPr>
        <w:tab/>
      </w:r>
      <w:r>
        <w:rPr>
          <w:sz w:val="28"/>
          <w:szCs w:val="28"/>
        </w:rPr>
        <w:fldChar w:fldCharType="begin"/>
      </w:r>
      <w:r>
        <w:rPr>
          <w:sz w:val="28"/>
          <w:szCs w:val="28"/>
        </w:rPr>
        <w:instrText xml:space="preserve"> PAGEREF _Toc2822 \h </w:instrText>
      </w:r>
      <w:r>
        <w:rPr>
          <w:sz w:val="28"/>
          <w:szCs w:val="28"/>
        </w:rPr>
        <w:fldChar w:fldCharType="separate"/>
      </w:r>
      <w:r>
        <w:rPr>
          <w:sz w:val="28"/>
          <w:szCs w:val="28"/>
        </w:rPr>
        <w:t>19</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_Toc25553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（五）全日制普通教育学历</w:t>
      </w:r>
      <w:r>
        <w:rPr>
          <w:sz w:val="28"/>
          <w:szCs w:val="28"/>
        </w:rPr>
        <w:tab/>
      </w:r>
      <w:r>
        <w:rPr>
          <w:sz w:val="28"/>
          <w:szCs w:val="28"/>
        </w:rPr>
        <w:fldChar w:fldCharType="begin"/>
      </w:r>
      <w:r>
        <w:rPr>
          <w:sz w:val="28"/>
          <w:szCs w:val="28"/>
        </w:rPr>
        <w:instrText xml:space="preserve"> PAGEREF _Toc25553 \h </w:instrText>
      </w:r>
      <w:r>
        <w:rPr>
          <w:sz w:val="28"/>
          <w:szCs w:val="28"/>
        </w:rPr>
        <w:fldChar w:fldCharType="separate"/>
      </w:r>
      <w:r>
        <w:rPr>
          <w:sz w:val="28"/>
          <w:szCs w:val="28"/>
        </w:rPr>
        <w:t>20</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_Toc24804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（六）生源</w:t>
      </w:r>
      <w:r>
        <w:rPr>
          <w:sz w:val="28"/>
          <w:szCs w:val="28"/>
        </w:rPr>
        <w:tab/>
      </w:r>
      <w:r>
        <w:rPr>
          <w:sz w:val="28"/>
          <w:szCs w:val="28"/>
        </w:rPr>
        <w:fldChar w:fldCharType="begin"/>
      </w:r>
      <w:r>
        <w:rPr>
          <w:sz w:val="28"/>
          <w:szCs w:val="28"/>
        </w:rPr>
        <w:instrText xml:space="preserve"> PAGEREF _Toc24804 \h </w:instrText>
      </w:r>
      <w:r>
        <w:rPr>
          <w:sz w:val="28"/>
          <w:szCs w:val="28"/>
        </w:rPr>
        <w:fldChar w:fldCharType="separate"/>
      </w:r>
      <w:r>
        <w:rPr>
          <w:sz w:val="28"/>
          <w:szCs w:val="28"/>
        </w:rPr>
        <w:t>20</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_Toc14610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（七）港澳台人员</w:t>
      </w:r>
      <w:r>
        <w:rPr>
          <w:sz w:val="28"/>
          <w:szCs w:val="28"/>
        </w:rPr>
        <w:tab/>
      </w:r>
      <w:r>
        <w:rPr>
          <w:sz w:val="28"/>
          <w:szCs w:val="28"/>
        </w:rPr>
        <w:fldChar w:fldCharType="begin"/>
      </w:r>
      <w:r>
        <w:rPr>
          <w:sz w:val="28"/>
          <w:szCs w:val="28"/>
        </w:rPr>
        <w:instrText xml:space="preserve"> PAGEREF _Toc14610 \h </w:instrText>
      </w:r>
      <w:r>
        <w:rPr>
          <w:sz w:val="28"/>
          <w:szCs w:val="28"/>
        </w:rPr>
        <w:fldChar w:fldCharType="separate"/>
      </w:r>
      <w:r>
        <w:rPr>
          <w:sz w:val="28"/>
          <w:szCs w:val="28"/>
        </w:rPr>
        <w:t>21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_Toc11881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楷体" w:hAnsi="楷体" w:eastAsia="楷体" w:cs="楷体"/>
          <w:sz w:val="28"/>
          <w:szCs w:val="28"/>
          <w:lang w:val="en-US" w:eastAsia="zh-CN"/>
        </w:rPr>
        <w:t>（八）技工院校毕业生</w:t>
      </w:r>
      <w:r>
        <w:rPr>
          <w:sz w:val="28"/>
          <w:szCs w:val="28"/>
        </w:rPr>
        <w:tab/>
      </w:r>
      <w:r>
        <w:rPr>
          <w:sz w:val="28"/>
          <w:szCs w:val="28"/>
        </w:rPr>
        <w:fldChar w:fldCharType="begin"/>
      </w:r>
      <w:r>
        <w:rPr>
          <w:sz w:val="28"/>
          <w:szCs w:val="28"/>
        </w:rPr>
        <w:instrText xml:space="preserve"> PAGEREF _Toc11881 \h </w:instrText>
      </w:r>
      <w:r>
        <w:rPr>
          <w:sz w:val="28"/>
          <w:szCs w:val="28"/>
        </w:rPr>
        <w:fldChar w:fldCharType="separate"/>
      </w:r>
      <w:r>
        <w:rPr>
          <w:sz w:val="28"/>
          <w:szCs w:val="28"/>
        </w:rPr>
        <w:t>21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pStyle w:val="9"/>
        <w:tabs>
          <w:tab w:val="right" w:leader="dot" w:pos="8306"/>
        </w:tabs>
        <w:rPr>
          <w:sz w:val="28"/>
          <w:szCs w:val="28"/>
        </w:rPr>
      </w:pP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begin"/>
      </w:r>
      <w:r>
        <w:rPr>
          <w:rFonts w:hint="eastAsia" w:ascii="宋体" w:hAnsi="宋体" w:eastAsia="宋体" w:cs="Times New Roman"/>
          <w:bCs/>
          <w:kern w:val="2"/>
          <w:sz w:val="28"/>
          <w:szCs w:val="28"/>
          <w:highlight w:val="none"/>
          <w:lang w:val="en-US" w:eastAsia="zh-CN" w:bidi="ar-SA"/>
        </w:rPr>
        <w:instrText xml:space="preserve"> HYPERLINK \l _Toc18355 </w:instrText>
      </w:r>
      <w:r>
        <w:rPr>
          <w:rFonts w:hint="eastAsia" w:ascii="宋体" w:hAnsi="宋体" w:eastAsia="宋体" w:cs="Times New Roman"/>
          <w:bCs/>
          <w:kern w:val="2"/>
          <w:sz w:val="28"/>
          <w:szCs w:val="28"/>
          <w:highlight w:val="none"/>
          <w:lang w:val="en-US" w:eastAsia="zh-CN" w:bidi="ar-SA"/>
        </w:rPr>
        <w:fldChar w:fldCharType="separate"/>
      </w:r>
      <w:r>
        <w:rPr>
          <w:rFonts w:hint="eastAsia" w:ascii="黑体" w:hAnsi="黑体" w:eastAsia="黑体" w:cs="黑体"/>
          <w:sz w:val="28"/>
          <w:szCs w:val="28"/>
          <w:lang w:val="en-US" w:eastAsia="zh-CN"/>
        </w:rPr>
        <w:t>十四、新冠肺炎疫情防控要求</w:t>
      </w:r>
      <w:r>
        <w:rPr>
          <w:sz w:val="28"/>
          <w:szCs w:val="28"/>
        </w:rPr>
        <w:tab/>
      </w:r>
      <w:r>
        <w:rPr>
          <w:sz w:val="28"/>
          <w:szCs w:val="28"/>
        </w:rPr>
        <w:fldChar w:fldCharType="begin"/>
      </w:r>
      <w:r>
        <w:rPr>
          <w:sz w:val="28"/>
          <w:szCs w:val="28"/>
        </w:rPr>
        <w:instrText xml:space="preserve"> PAGEREF _Toc18355 \h </w:instrText>
      </w:r>
      <w:r>
        <w:rPr>
          <w:sz w:val="28"/>
          <w:szCs w:val="28"/>
        </w:rPr>
        <w:fldChar w:fldCharType="separate"/>
      </w:r>
      <w:r>
        <w:rPr>
          <w:sz w:val="28"/>
          <w:szCs w:val="28"/>
        </w:rPr>
        <w:t>21</w:t>
      </w:r>
      <w:r>
        <w:rPr>
          <w:sz w:val="28"/>
          <w:szCs w:val="28"/>
        </w:rPr>
        <w:fldChar w:fldCharType="end"/>
      </w:r>
      <w:r>
        <w:rPr>
          <w:rFonts w:hint="eastAsia" w:ascii="宋体" w:hAnsi="宋体" w:eastAsia="宋体" w:cs="Times New Roman"/>
          <w:bCs/>
          <w:color w:val="000000" w:themeColor="text1"/>
          <w:kern w:val="2"/>
          <w:sz w:val="28"/>
          <w:szCs w:val="28"/>
          <w:highlight w:val="none"/>
          <w:lang w:val="en-US" w:eastAsia="zh-CN" w:bidi="ar-SA"/>
          <w14:textFill>
            <w14:solidFill>
              <w14:schemeClr w14:val="tx1"/>
            </w14:solidFill>
          </w14:textFill>
        </w:rPr>
        <w:fldChar w:fldCharType="end"/>
      </w: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pPr>
    </w:p>
    <w:p>
      <w:pPr>
        <w:ind w:firstLine="640" w:firstLineChars="200"/>
        <w:rPr>
          <w:rFonts w:ascii="??_GB2312" w:eastAsia="Times New Roman"/>
          <w:color w:val="000000" w:themeColor="text1"/>
          <w:sz w:val="32"/>
          <w:szCs w:val="32"/>
          <w:highlight w:val="none"/>
          <w14:textFill>
            <w14:solidFill>
              <w14:schemeClr w14:val="tx1"/>
            </w14:solidFill>
          </w14:textFill>
        </w:rPr>
        <w:sectPr>
          <w:footerReference r:id="rId3" w:type="default"/>
          <w:pgSz w:w="11906" w:h="16838"/>
          <w:pgMar w:top="1440" w:right="1800" w:bottom="1440" w:left="1800" w:header="851" w:footer="992" w:gutter="0"/>
          <w:pgNumType w:start="1"/>
          <w:cols w:space="0" w:num="1"/>
          <w:docGrid w:type="lines" w:linePitch="312" w:charSpace="0"/>
        </w:sectPr>
      </w:pPr>
    </w:p>
    <w:p>
      <w:pPr>
        <w:ind w:firstLine="640" w:firstLineChars="200"/>
        <w:rPr>
          <w:rFonts w:ascii="宋体" w:hAnsi="宋体"/>
          <w:sz w:val="32"/>
          <w:szCs w:val="32"/>
        </w:rPr>
      </w:pPr>
      <w:r>
        <w:rPr>
          <w:rFonts w:ascii="宋体" w:hAnsi="宋体"/>
          <w:sz w:val="32"/>
          <w:szCs w:val="32"/>
        </w:rPr>
        <w:t>本</w:t>
      </w:r>
      <w:r>
        <w:rPr>
          <w:rFonts w:hint="eastAsia" w:ascii="宋体" w:hAnsi="宋体"/>
          <w:sz w:val="32"/>
          <w:szCs w:val="32"/>
          <w:lang w:eastAsia="zh-CN"/>
        </w:rPr>
        <w:t>须知</w:t>
      </w:r>
      <w:r>
        <w:rPr>
          <w:rFonts w:ascii="宋体" w:hAnsi="宋体"/>
          <w:sz w:val="32"/>
          <w:szCs w:val="32"/>
        </w:rPr>
        <w:t>仅适用于</w:t>
      </w:r>
      <w:r>
        <w:rPr>
          <w:rFonts w:hint="eastAsia" w:ascii="宋体" w:hAnsi="宋体"/>
          <w:sz w:val="32"/>
          <w:szCs w:val="32"/>
          <w:lang w:eastAsia="zh-CN"/>
        </w:rPr>
        <w:t>厦门医学院及其附属第二医院、附属口腔医院</w:t>
      </w:r>
      <w:r>
        <w:rPr>
          <w:rFonts w:ascii="宋体" w:hAnsi="宋体"/>
          <w:sz w:val="32"/>
          <w:szCs w:val="32"/>
        </w:rPr>
        <w:t>补充编内工作人员招聘考试（</w:t>
      </w:r>
      <w:r>
        <w:rPr>
          <w:rFonts w:hint="eastAsia" w:ascii="宋体" w:hAnsi="宋体"/>
          <w:sz w:val="32"/>
          <w:szCs w:val="32"/>
          <w:lang w:eastAsia="zh-CN"/>
        </w:rPr>
        <w:t>2022</w:t>
      </w:r>
      <w:r>
        <w:rPr>
          <w:rFonts w:ascii="宋体" w:hAnsi="宋体"/>
          <w:sz w:val="32"/>
          <w:szCs w:val="32"/>
        </w:rPr>
        <w:t>年4月），由</w:t>
      </w:r>
      <w:r>
        <w:rPr>
          <w:rFonts w:hint="eastAsia" w:ascii="宋体" w:hAnsi="宋体"/>
          <w:sz w:val="32"/>
          <w:szCs w:val="32"/>
          <w:lang w:eastAsia="zh-CN"/>
        </w:rPr>
        <w:t>厦门医学院</w:t>
      </w:r>
      <w:r>
        <w:rPr>
          <w:rFonts w:ascii="宋体" w:hAnsi="宋体"/>
          <w:sz w:val="32"/>
          <w:szCs w:val="32"/>
        </w:rPr>
        <w:t>解释。</w:t>
      </w:r>
    </w:p>
    <w:p>
      <w:pPr>
        <w:pStyle w:val="2"/>
        <w:ind w:firstLine="643" w:firstLineChars="200"/>
        <w:rPr>
          <w:rFonts w:hint="eastAsia" w:ascii="黑体" w:hAnsi="黑体" w:eastAsia="黑体" w:cs="黑体"/>
          <w:sz w:val="32"/>
          <w:szCs w:val="32"/>
        </w:rPr>
      </w:pPr>
      <w:bookmarkStart w:id="1" w:name="_Toc16081"/>
      <w:bookmarkStart w:id="2" w:name="_Toc26649"/>
      <w:bookmarkStart w:id="3" w:name="_Toc9741"/>
      <w:bookmarkStart w:id="4" w:name="_Toc6269"/>
      <w:bookmarkStart w:id="5" w:name="_Toc21274"/>
      <w:bookmarkStart w:id="6" w:name="_Toc32363"/>
      <w:bookmarkStart w:id="7" w:name="_Toc6030"/>
      <w:bookmarkStart w:id="8" w:name="_Toc28768"/>
      <w:bookmarkStart w:id="9" w:name="_Toc22663"/>
      <w:bookmarkStart w:id="10" w:name="_Toc9179"/>
      <w:bookmarkStart w:id="11" w:name="_Toc32043"/>
      <w:bookmarkStart w:id="12" w:name="_Toc4280"/>
      <w:bookmarkStart w:id="13" w:name="一、基本条件"/>
      <w:bookmarkStart w:id="14" w:name="_一、基本条件"/>
      <w:r>
        <w:rPr>
          <w:rFonts w:hint="eastAsia" w:ascii="黑体" w:hAnsi="黑体" w:eastAsia="黑体" w:cs="黑体"/>
          <w:sz w:val="32"/>
          <w:szCs w:val="32"/>
          <w:lang w:val="en-US" w:eastAsia="zh-CN"/>
        </w:rPr>
        <w:t>一、基本条件</w:t>
      </w:r>
      <w:bookmarkEnd w:id="1"/>
      <w:bookmarkEnd w:id="2"/>
      <w:bookmarkEnd w:id="3"/>
      <w:bookmarkEnd w:id="4"/>
      <w:bookmarkEnd w:id="5"/>
      <w:bookmarkEnd w:id="6"/>
      <w:bookmarkEnd w:id="7"/>
      <w:bookmarkEnd w:id="8"/>
      <w:bookmarkEnd w:id="9"/>
      <w:bookmarkEnd w:id="10"/>
      <w:bookmarkEnd w:id="11"/>
      <w:bookmarkEnd w:id="12"/>
      <w:bookmarkStart w:id="15" w:name="_Toc9119_WPSOffice_Level2"/>
      <w:bookmarkStart w:id="16" w:name="_Toc29243_WPSOffice_Level2"/>
      <w:bookmarkStart w:id="17" w:name="_Toc17638_WPSOffice_Level2"/>
      <w:bookmarkStart w:id="18" w:name="_Toc19262_WPSOffice_Level2"/>
    </w:p>
    <w:bookmarkEnd w:id="13"/>
    <w:bookmarkEnd w:id="14"/>
    <w:p>
      <w:pPr>
        <w:ind w:firstLine="640" w:firstLineChars="200"/>
        <w:rPr>
          <w:rFonts w:ascii="宋体" w:hAnsi="宋体"/>
          <w:sz w:val="32"/>
          <w:szCs w:val="32"/>
          <w:lang w:val="en-US" w:eastAsia="zh-CN"/>
        </w:rPr>
      </w:pPr>
      <w:bookmarkStart w:id="19" w:name="_Toc15349"/>
      <w:bookmarkStart w:id="20" w:name="_Toc16675"/>
      <w:bookmarkStart w:id="21" w:name="_Toc17351"/>
      <w:bookmarkStart w:id="22" w:name="_Toc876"/>
      <w:bookmarkStart w:id="23" w:name="_Toc2530"/>
      <w:bookmarkStart w:id="24" w:name="_Toc21841"/>
      <w:bookmarkStart w:id="25" w:name="_Toc7600"/>
      <w:bookmarkStart w:id="26" w:name="_Toc11125"/>
      <w:bookmarkStart w:id="27" w:name="_Toc17752"/>
      <w:bookmarkStart w:id="28" w:name="_Toc801"/>
      <w:bookmarkStart w:id="29" w:name="_Toc22064"/>
      <w:r>
        <w:rPr>
          <w:rFonts w:ascii="宋体" w:hAnsi="宋体"/>
          <w:sz w:val="32"/>
          <w:szCs w:val="32"/>
          <w:lang w:val="en-US" w:eastAsia="zh-CN"/>
        </w:rPr>
        <w:t>（一）具有中华人民共和国国籍；</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pPr>
        <w:ind w:firstLine="640" w:firstLineChars="200"/>
        <w:rPr>
          <w:rFonts w:ascii="宋体" w:hAnsi="宋体"/>
          <w:sz w:val="32"/>
          <w:szCs w:val="32"/>
        </w:rPr>
      </w:pPr>
      <w:bookmarkStart w:id="30" w:name="_Toc17350_WPSOffice_Level2"/>
      <w:bookmarkStart w:id="31" w:name="_Toc4207_WPSOffice_Level2"/>
      <w:bookmarkStart w:id="32" w:name="_Toc12392_WPSOffice_Level2"/>
      <w:bookmarkStart w:id="33" w:name="_Toc11941_WPSOffice_Level2"/>
      <w:r>
        <w:rPr>
          <w:rFonts w:ascii="宋体" w:hAnsi="宋体"/>
          <w:sz w:val="32"/>
          <w:szCs w:val="32"/>
        </w:rPr>
        <w:t>（二）拥护中华人民共和国宪法</w:t>
      </w:r>
      <w:r>
        <w:rPr>
          <w:rFonts w:hint="eastAsia" w:ascii="宋体" w:hAnsi="宋体"/>
          <w:sz w:val="32"/>
          <w:szCs w:val="32"/>
        </w:rPr>
        <w:t>，</w:t>
      </w:r>
      <w:r>
        <w:rPr>
          <w:rFonts w:ascii="宋体" w:hAnsi="宋体"/>
          <w:sz w:val="32"/>
          <w:szCs w:val="32"/>
        </w:rPr>
        <w:t>拥护中国共产党领导和社会主义制度；</w:t>
      </w:r>
      <w:bookmarkEnd w:id="30"/>
      <w:bookmarkEnd w:id="31"/>
      <w:bookmarkEnd w:id="32"/>
      <w:bookmarkEnd w:id="33"/>
    </w:p>
    <w:p>
      <w:pPr>
        <w:ind w:firstLine="640" w:firstLineChars="200"/>
        <w:rPr>
          <w:rFonts w:ascii="宋体" w:hAnsi="宋体"/>
          <w:sz w:val="32"/>
          <w:szCs w:val="32"/>
        </w:rPr>
      </w:pPr>
      <w:bookmarkStart w:id="34" w:name="_Toc7847_WPSOffice_Level2"/>
      <w:bookmarkStart w:id="35" w:name="_Toc6014_WPSOffice_Level2"/>
      <w:bookmarkStart w:id="36" w:name="_Toc20094_WPSOffice_Level2"/>
      <w:bookmarkStart w:id="37" w:name="_Toc9634_WPSOffice_Level2"/>
      <w:r>
        <w:rPr>
          <w:rFonts w:ascii="宋体" w:hAnsi="宋体"/>
          <w:sz w:val="32"/>
          <w:szCs w:val="32"/>
        </w:rPr>
        <w:t>（三）</w:t>
      </w:r>
      <w:bookmarkEnd w:id="34"/>
      <w:bookmarkEnd w:id="35"/>
      <w:bookmarkEnd w:id="36"/>
      <w:bookmarkEnd w:id="37"/>
      <w:r>
        <w:rPr>
          <w:rFonts w:ascii="宋体" w:hAnsi="宋体"/>
          <w:sz w:val="32"/>
          <w:szCs w:val="32"/>
        </w:rPr>
        <w:t>热爱卫生健康事业，具有良好的政治素质和职业道德；</w:t>
      </w:r>
    </w:p>
    <w:p>
      <w:pPr>
        <w:ind w:firstLine="640" w:firstLineChars="200"/>
        <w:rPr>
          <w:rFonts w:ascii="宋体" w:hAnsi="宋体"/>
          <w:sz w:val="32"/>
          <w:szCs w:val="32"/>
        </w:rPr>
      </w:pPr>
      <w:r>
        <w:rPr>
          <w:rFonts w:ascii="宋体" w:hAnsi="宋体"/>
          <w:sz w:val="32"/>
          <w:szCs w:val="32"/>
        </w:rPr>
        <w:t>（四）具有正常履行职责的身体条件和心理素质；</w:t>
      </w:r>
    </w:p>
    <w:p>
      <w:pPr>
        <w:ind w:firstLine="640" w:firstLineChars="200"/>
        <w:rPr>
          <w:rFonts w:ascii="宋体" w:hAnsi="宋体"/>
          <w:sz w:val="32"/>
          <w:szCs w:val="32"/>
        </w:rPr>
      </w:pPr>
      <w:bookmarkStart w:id="38" w:name="_Toc19929_WPSOffice_Level2"/>
      <w:bookmarkStart w:id="39" w:name="_Toc4758_WPSOffice_Level2"/>
      <w:bookmarkStart w:id="40" w:name="_Toc26060_WPSOffice_Level2"/>
      <w:bookmarkStart w:id="41" w:name="_Toc10788_WPSOffice_Level2"/>
      <w:r>
        <w:rPr>
          <w:rFonts w:ascii="宋体" w:hAnsi="宋体"/>
          <w:sz w:val="32"/>
          <w:szCs w:val="32"/>
        </w:rPr>
        <w:t>（五）具备招聘岗位设置的资格条件。</w:t>
      </w:r>
      <w:bookmarkEnd w:id="38"/>
      <w:bookmarkEnd w:id="39"/>
      <w:bookmarkEnd w:id="40"/>
      <w:bookmarkEnd w:id="41"/>
    </w:p>
    <w:p>
      <w:pPr>
        <w:pStyle w:val="2"/>
        <w:ind w:firstLine="643" w:firstLineChars="200"/>
        <w:rPr>
          <w:rFonts w:hint="eastAsia" w:ascii="黑体" w:hAnsi="黑体" w:eastAsia="黑体" w:cs="黑体"/>
          <w:sz w:val="32"/>
          <w:szCs w:val="32"/>
          <w:lang w:val="en-US" w:eastAsia="zh-CN"/>
        </w:rPr>
      </w:pPr>
      <w:bookmarkStart w:id="42" w:name="_Toc29556"/>
      <w:bookmarkStart w:id="43" w:name="_Toc5197"/>
      <w:bookmarkStart w:id="44" w:name="_Toc28022"/>
      <w:bookmarkStart w:id="45" w:name="_Toc24502"/>
      <w:bookmarkStart w:id="46" w:name="_Toc25192"/>
      <w:bookmarkStart w:id="47" w:name="_Toc6892"/>
      <w:bookmarkStart w:id="48" w:name="_Toc20470"/>
      <w:bookmarkStart w:id="49" w:name="_Toc23714"/>
      <w:bookmarkStart w:id="50" w:name="_Toc15998"/>
      <w:bookmarkStart w:id="51" w:name="_Toc25850"/>
      <w:bookmarkStart w:id="52" w:name="_Toc22673"/>
      <w:bookmarkStart w:id="53" w:name="_Toc8587"/>
      <w:bookmarkStart w:id="54" w:name="_Toc27206"/>
      <w:bookmarkStart w:id="55" w:name="_Toc5980"/>
      <w:bookmarkStart w:id="56" w:name="_Toc21227"/>
      <w:bookmarkStart w:id="57" w:name="_Toc16681"/>
      <w:bookmarkStart w:id="58" w:name="_Toc3363"/>
      <w:bookmarkStart w:id="59" w:name="_Toc5166"/>
      <w:bookmarkStart w:id="60" w:name="_Toc32229"/>
      <w:r>
        <w:rPr>
          <w:rFonts w:hint="eastAsia" w:ascii="黑体" w:hAnsi="黑体" w:eastAsia="黑体" w:cs="黑体"/>
          <w:sz w:val="32"/>
          <w:szCs w:val="32"/>
          <w:lang w:val="en-US" w:eastAsia="zh-CN"/>
        </w:rPr>
        <w:t>二、不得报考或取消报考（聘用）资格的情形</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pPr>
        <w:ind w:firstLine="640" w:firstLineChars="200"/>
        <w:rPr>
          <w:rFonts w:ascii="宋体" w:hAnsi="宋体"/>
          <w:sz w:val="32"/>
          <w:szCs w:val="32"/>
          <w:lang w:val="en-US" w:eastAsia="zh-CN"/>
        </w:rPr>
      </w:pPr>
      <w:r>
        <w:rPr>
          <w:rFonts w:ascii="宋体" w:hAnsi="宋体"/>
          <w:sz w:val="32"/>
          <w:szCs w:val="32"/>
          <w:lang w:val="en-US" w:eastAsia="zh-CN"/>
        </w:rPr>
        <w:t>（一）曾因犯罪受过刑事处罚的；</w:t>
      </w:r>
    </w:p>
    <w:p>
      <w:pPr>
        <w:ind w:firstLine="640" w:firstLineChars="200"/>
        <w:rPr>
          <w:rFonts w:ascii="宋体" w:hAnsi="宋体"/>
          <w:sz w:val="32"/>
          <w:szCs w:val="32"/>
          <w:lang w:val="en-US" w:eastAsia="zh-CN"/>
        </w:rPr>
      </w:pPr>
      <w:r>
        <w:rPr>
          <w:rFonts w:ascii="宋体" w:hAnsi="宋体"/>
          <w:sz w:val="32"/>
          <w:szCs w:val="32"/>
          <w:lang w:val="en-US" w:eastAsia="zh-CN"/>
        </w:rPr>
        <w:t>（二）</w:t>
      </w:r>
      <w:r>
        <w:rPr>
          <w:rFonts w:hint="eastAsia" w:ascii="宋体" w:hAnsi="宋体"/>
          <w:sz w:val="32"/>
          <w:szCs w:val="32"/>
          <w:lang w:val="en-US" w:eastAsia="zh-CN"/>
        </w:rPr>
        <w:t>曾被开除公职或开除中国共产党党籍的</w:t>
      </w:r>
      <w:r>
        <w:rPr>
          <w:rFonts w:ascii="宋体" w:hAnsi="宋体"/>
          <w:sz w:val="32"/>
          <w:szCs w:val="32"/>
          <w:lang w:val="en-US" w:eastAsia="zh-CN"/>
        </w:rPr>
        <w:t>；</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（三）被依法列为失信联合惩戒对象的；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（四）工作期间曾发生医疗事故负有主要责任的；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（五）在各级公务员或事业单位招考中被认定有舞弊等严重违反录(聘)用纪律行为的；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（六）公务员或参照公务员法管理机关（单位）工作人员（以下简称“参公人员”）被辞退未满5年的；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（七）试用期内的公务员或参公人员；未达到与当地公务员主管部门或单位组织人事部门约定服务年限的公务员和参公人员；</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（八）现役军人及普通高等院校全日制在读的非应届毕业生（即2023年及以后才学业期满的全日制普通教育学生）；</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（九）涉嫌违法犯罪正在接受司法调查尚未做出结论的，或尚未解除党（政）纪处分的，或正在接受纪律审查的;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（十）聘用后即构成应回避关系的；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十一）根据原福建省卫生计生委等六部门《关于印发&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（十二）法律法规规章规定不得聘为事业单位人员的其他情形。</w:t>
      </w:r>
    </w:p>
    <w:p>
      <w:pPr>
        <w:pStyle w:val="2"/>
        <w:ind w:firstLine="643" w:firstLineChars="200"/>
        <w:rPr>
          <w:rFonts w:hint="eastAsia" w:ascii="黑体" w:hAnsi="黑体" w:eastAsia="黑体" w:cs="黑体"/>
          <w:sz w:val="32"/>
          <w:szCs w:val="32"/>
          <w:lang w:val="en-US" w:eastAsia="zh-CN"/>
        </w:rPr>
      </w:pPr>
      <w:bookmarkStart w:id="61" w:name="_Toc6005"/>
      <w:bookmarkStart w:id="62" w:name="_Toc28345"/>
      <w:bookmarkStart w:id="63" w:name="_Toc12543"/>
      <w:bookmarkStart w:id="64" w:name="_Toc9365"/>
      <w:bookmarkStart w:id="65" w:name="_Toc31910"/>
      <w:bookmarkStart w:id="66" w:name="_Toc10858"/>
      <w:bookmarkStart w:id="67" w:name="_Toc2609"/>
      <w:bookmarkStart w:id="68" w:name="_Toc10273"/>
      <w:bookmarkStart w:id="69" w:name="_Toc24432"/>
      <w:bookmarkStart w:id="70" w:name="_Toc27877"/>
      <w:bookmarkStart w:id="71" w:name="_Toc29286"/>
      <w:bookmarkStart w:id="72" w:name="_Toc24798"/>
      <w:bookmarkStart w:id="73" w:name="_Toc27321"/>
      <w:bookmarkStart w:id="74" w:name="_Toc9984"/>
      <w:bookmarkStart w:id="75" w:name="_Toc19185"/>
      <w:bookmarkStart w:id="76" w:name="_Toc20856"/>
      <w:bookmarkStart w:id="77" w:name="_Toc14770"/>
      <w:bookmarkStart w:id="78" w:name="_Toc2220"/>
      <w:bookmarkStart w:id="79" w:name="_Toc32418"/>
      <w:r>
        <w:rPr>
          <w:rFonts w:hint="eastAsia" w:ascii="黑体" w:hAnsi="黑体" w:eastAsia="黑体" w:cs="黑体"/>
          <w:sz w:val="32"/>
          <w:szCs w:val="32"/>
          <w:lang w:val="en-US" w:eastAsia="zh-CN"/>
        </w:rPr>
        <w:t>三、选报岗位须知</w:t>
      </w:r>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Start w:id="80" w:name="_Toc9596"/>
      <w:bookmarkStart w:id="81" w:name="_Toc25581"/>
      <w:bookmarkStart w:id="82" w:name="_Toc2901"/>
    </w:p>
    <w:bookmarkEnd w:id="80"/>
    <w:bookmarkEnd w:id="81"/>
    <w:bookmarkEnd w:id="82"/>
    <w:p>
      <w:pPr>
        <w:pStyle w:val="2"/>
        <w:ind w:firstLine="643" w:firstLineChars="200"/>
        <w:rPr>
          <w:rFonts w:hint="eastAsia" w:ascii="楷体" w:hAnsi="楷体" w:eastAsia="楷体" w:cs="楷体"/>
          <w:sz w:val="32"/>
          <w:szCs w:val="32"/>
        </w:rPr>
      </w:pPr>
      <w:bookmarkStart w:id="83" w:name="_Toc7637"/>
      <w:bookmarkStart w:id="84" w:name="_Toc20515"/>
      <w:bookmarkStart w:id="85" w:name="_Toc31635"/>
      <w:bookmarkStart w:id="86" w:name="_Toc18587"/>
      <w:bookmarkStart w:id="87" w:name="_Toc20139"/>
      <w:bookmarkStart w:id="88" w:name="_Toc8174"/>
      <w:bookmarkStart w:id="89" w:name="_Toc9105"/>
      <w:bookmarkStart w:id="90" w:name="_Toc3729"/>
      <w:bookmarkStart w:id="91" w:name="_Toc23588"/>
      <w:bookmarkStart w:id="92" w:name="_Toc4523"/>
      <w:bookmarkStart w:id="93" w:name="_Toc7091"/>
      <w:bookmarkStart w:id="94" w:name="_Toc9987"/>
      <w:bookmarkStart w:id="95" w:name="_Toc5779"/>
      <w:bookmarkStart w:id="96" w:name="_Toc17642"/>
      <w:bookmarkStart w:id="97" w:name="_Toc23920"/>
      <w:bookmarkStart w:id="98" w:name="_Toc3161"/>
      <w:bookmarkStart w:id="99" w:name="_Toc8234"/>
      <w:bookmarkStart w:id="100" w:name="_Toc23062"/>
      <w:bookmarkStart w:id="101" w:name="_Toc21551"/>
      <w:r>
        <w:rPr>
          <w:rFonts w:hint="eastAsia" w:ascii="楷体" w:hAnsi="楷体" w:eastAsia="楷体" w:cs="楷体"/>
          <w:sz w:val="32"/>
          <w:szCs w:val="32"/>
        </w:rPr>
        <w:t>（一）照片</w:t>
      </w:r>
      <w:bookmarkEnd w:id="83"/>
      <w:bookmarkEnd w:id="84"/>
      <w:bookmarkEnd w:id="85"/>
      <w:bookmarkEnd w:id="86"/>
      <w:bookmarkEnd w:id="87"/>
      <w:bookmarkEnd w:id="88"/>
      <w:r>
        <w:rPr>
          <w:rFonts w:hint="eastAsia" w:ascii="楷体" w:hAnsi="楷体" w:eastAsia="楷体" w:cs="楷体"/>
          <w:sz w:val="32"/>
          <w:szCs w:val="32"/>
        </w:rPr>
        <w:t>要求</w:t>
      </w:r>
      <w:bookmarkEnd w:id="89"/>
      <w:bookmarkEnd w:id="90"/>
      <w:bookmarkEnd w:id="91"/>
      <w:bookmarkEnd w:id="92"/>
      <w:bookmarkEnd w:id="93"/>
      <w:bookmarkEnd w:id="94"/>
      <w:bookmarkEnd w:id="95"/>
      <w:bookmarkEnd w:id="96"/>
      <w:bookmarkEnd w:id="97"/>
      <w:bookmarkEnd w:id="98"/>
      <w:bookmarkEnd w:id="99"/>
      <w:bookmarkEnd w:id="100"/>
      <w:bookmarkEnd w:id="101"/>
    </w:p>
    <w:p>
      <w:pPr>
        <w:ind w:firstLine="640" w:firstLineChars="200"/>
        <w:rPr>
          <w:rFonts w:hint="eastAsia" w:ascii="宋体" w:hAnsi="宋体"/>
          <w:sz w:val="32"/>
          <w:szCs w:val="32"/>
          <w:lang w:val="en-US" w:eastAsia="zh-CN"/>
        </w:rPr>
      </w:pPr>
      <w:bookmarkStart w:id="102" w:name="_Toc308"/>
      <w:bookmarkStart w:id="103" w:name="_Toc27773"/>
      <w:bookmarkStart w:id="104" w:name="_Toc32296"/>
      <w:bookmarkStart w:id="105" w:name="_Toc11634"/>
      <w:bookmarkStart w:id="106" w:name="_Toc18163"/>
      <w:bookmarkStart w:id="107" w:name="_Toc25424"/>
      <w:bookmarkStart w:id="108" w:name="_Toc21891"/>
      <w:bookmarkStart w:id="109" w:name="_Toc17912"/>
      <w:bookmarkStart w:id="110" w:name="_Toc32056"/>
      <w:bookmarkStart w:id="111" w:name="_Toc6399"/>
      <w:bookmarkStart w:id="112" w:name="_Toc16906"/>
      <w:bookmarkStart w:id="113" w:name="_Toc1624"/>
      <w:bookmarkStart w:id="114" w:name="_Toc13259"/>
      <w:bookmarkStart w:id="115" w:name="_Toc11648"/>
      <w:bookmarkStart w:id="116" w:name="_Toc2200"/>
      <w:r>
        <w:rPr>
          <w:rFonts w:hint="eastAsia" w:ascii="宋体" w:hAnsi="宋体"/>
          <w:sz w:val="32"/>
          <w:szCs w:val="32"/>
          <w:lang w:val="en-US" w:eastAsia="zh-CN"/>
        </w:rPr>
        <w:t>报考者应在网上报名时提交近期正面免冠二寸彩色数码证件照（jpg格式，规格200K以下）。以下为常见不合格照片：①着制式服装照（公安、工商、武警等）；②着帽子或太醒目、夸张首饰等；③模糊不清晰的；④眼镜反光的；⑤明显不是个人照片的（如风景照、名人照等）；⑥随意自拍的半身照，全身照等无法看清楚脸的； ⑦头发刘海遮挡面大的；⑧照片比例变形的；⑨手持证件的照片；⑩其他难以清晰辨认的。</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报考者因未在时限内提交合格照片造成无法打印准考证的，视为自动放弃考试资格。</w:t>
      </w:r>
    </w:p>
    <w:p>
      <w:pPr>
        <w:pStyle w:val="2"/>
        <w:ind w:firstLine="643" w:firstLineChars="200"/>
        <w:rPr>
          <w:rFonts w:hint="eastAsia" w:ascii="楷体" w:hAnsi="楷体" w:eastAsia="楷体" w:cs="楷体"/>
          <w:sz w:val="32"/>
          <w:szCs w:val="32"/>
        </w:rPr>
      </w:pPr>
      <w:bookmarkStart w:id="117" w:name="_Toc19402"/>
      <w:bookmarkStart w:id="118" w:name="_Toc4305"/>
      <w:r>
        <w:rPr>
          <w:rFonts w:hint="eastAsia" w:ascii="楷体" w:hAnsi="楷体" w:eastAsia="楷体" w:cs="楷体"/>
          <w:sz w:val="32"/>
          <w:szCs w:val="32"/>
        </w:rPr>
        <w:t>（二）回避情形</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1.夫妻关系;</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2.直系血亲关系，包括祖父母、外祖父母、父母、子女、孙子女、外孙子女;</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3.三代以内旁系血亲关系，包括叔伯姑舅姨、兄弟姐妹、堂兄弟姐妹、表兄弟姐妹、侄子女、甥子女;</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4.近姻亲关系，包括配偶的父母、配偶的兄弟姐妹及其配偶、子女的配偶及子女配偶的父母、三代以内旁系血亲的配偶;</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5.其他亲属关系，包括养父母子女、形成抚养关系的继父母子女及由此形成的直系血亲、三代以内旁系血亲和近姻亲关系。</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所称直接上下级领导关系包括：</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1.领导班子正职与副职;</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2.同一内设机构正职与副职;</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3.上级正职、副职与下级正职;</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4.单位无内设机构的，其正职、副职与其他管理人员以及从事审计、财务工作的专业技术人员;</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5.内设机构无下一级单位的，其正职、副职与其他管理人员以及从事审计、财务工作的专业技术人员。</w:t>
      </w:r>
    </w:p>
    <w:p>
      <w:pPr>
        <w:ind w:firstLine="640" w:firstLineChars="200"/>
        <w:rPr>
          <w:rFonts w:hint="eastAsia" w:ascii="宋体" w:hAnsi="宋体"/>
          <w:sz w:val="32"/>
          <w:szCs w:val="32"/>
          <w:lang w:val="en-US" w:eastAsia="zh-CN"/>
        </w:rPr>
      </w:pPr>
      <w:bookmarkStart w:id="119" w:name="_Toc16066"/>
      <w:bookmarkStart w:id="120" w:name="_Toc11918"/>
      <w:bookmarkStart w:id="121" w:name="_Toc28052"/>
      <w:bookmarkStart w:id="122" w:name="_Toc14555"/>
      <w:bookmarkStart w:id="123" w:name="_Toc6547"/>
      <w:bookmarkStart w:id="124" w:name="_Toc30961"/>
      <w:bookmarkStart w:id="125" w:name="_Toc29283"/>
      <w:bookmarkStart w:id="126" w:name="_Toc17106"/>
      <w:bookmarkStart w:id="127" w:name="_Toc2355"/>
      <w:bookmarkStart w:id="128" w:name="_Toc1084"/>
      <w:bookmarkStart w:id="129" w:name="_Toc27150"/>
      <w:bookmarkStart w:id="130" w:name="_Toc31418"/>
      <w:bookmarkStart w:id="131" w:name="_Toc22422"/>
      <w:bookmarkStart w:id="132" w:name="_Toc8486"/>
      <w:bookmarkStart w:id="133" w:name="_Toc20101"/>
      <w:bookmarkStart w:id="134" w:name="_Toc459"/>
      <w:bookmarkStart w:id="135" w:name="_Toc29376"/>
      <w:r>
        <w:rPr>
          <w:rFonts w:hint="eastAsia" w:ascii="宋体" w:hAnsi="宋体"/>
          <w:sz w:val="32"/>
          <w:szCs w:val="32"/>
          <w:lang w:val="en-US" w:eastAsia="zh-CN"/>
        </w:rPr>
        <w:t>从事招聘工作的人员存在应当回避情形的，须实行履职回避。</w:t>
      </w:r>
    </w:p>
    <w:p>
      <w:pPr>
        <w:pStyle w:val="2"/>
        <w:ind w:firstLine="643" w:firstLineChars="200"/>
        <w:rPr>
          <w:rFonts w:hint="eastAsia" w:ascii="楷体" w:hAnsi="楷体" w:eastAsia="楷体" w:cs="楷体"/>
          <w:sz w:val="32"/>
          <w:szCs w:val="32"/>
        </w:rPr>
      </w:pPr>
      <w:bookmarkStart w:id="136" w:name="_Toc27427"/>
      <w:bookmarkStart w:id="137" w:name="_Toc26789"/>
      <w:r>
        <w:rPr>
          <w:rFonts w:hint="eastAsia" w:ascii="楷体" w:hAnsi="楷体" w:eastAsia="楷体" w:cs="楷体"/>
          <w:sz w:val="32"/>
          <w:szCs w:val="32"/>
        </w:rPr>
        <w:t>（三）</w:t>
      </w:r>
      <w:bookmarkStart w:id="138" w:name="_Toc19635_WPSOffice_Level1"/>
      <w:r>
        <w:rPr>
          <w:rFonts w:hint="eastAsia" w:ascii="楷体" w:hAnsi="楷体" w:eastAsia="楷体" w:cs="楷体"/>
          <w:sz w:val="32"/>
          <w:szCs w:val="32"/>
        </w:rPr>
        <w:t>岗位开考</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符合岗位资格条件的报名人数（指通过报名资格初审的人数</w:t>
      </w:r>
      <w:bookmarkStart w:id="937" w:name="_GoBack"/>
      <w:bookmarkEnd w:id="937"/>
      <w:r>
        <w:rPr>
          <w:rFonts w:hint="eastAsia" w:ascii="宋体" w:hAnsi="宋体"/>
          <w:sz w:val="32"/>
          <w:szCs w:val="32"/>
          <w:lang w:val="en-US" w:eastAsia="zh-CN"/>
        </w:rPr>
        <w:t>）与岗位拟聘人数比例达不到3:1的，原则上取消该岗位开考或相应减少招聘人数。</w:t>
      </w:r>
    </w:p>
    <w:p>
      <w:pPr>
        <w:ind w:firstLine="640" w:firstLineChars="200"/>
        <w:rPr>
          <w:rFonts w:hint="eastAsia" w:ascii="宋体" w:hAnsi="宋体"/>
          <w:sz w:val="32"/>
          <w:szCs w:val="32"/>
          <w:lang w:val="en-US" w:eastAsia="zh-CN"/>
        </w:rPr>
      </w:pPr>
      <w:bookmarkStart w:id="139" w:name="_Toc24937"/>
      <w:bookmarkStart w:id="140" w:name="_Toc7390"/>
      <w:bookmarkStart w:id="141" w:name="_Toc15831"/>
      <w:bookmarkStart w:id="142" w:name="_Toc28863"/>
      <w:bookmarkStart w:id="143" w:name="_Toc16210"/>
      <w:bookmarkStart w:id="144" w:name="_Toc15064"/>
      <w:bookmarkStart w:id="145" w:name="_Toc24007"/>
      <w:bookmarkStart w:id="146" w:name="_Toc15067"/>
      <w:bookmarkStart w:id="147" w:name="_Toc521"/>
      <w:bookmarkStart w:id="148" w:name="_Toc26179"/>
      <w:bookmarkStart w:id="149" w:name="_Toc25361"/>
      <w:bookmarkStart w:id="150" w:name="_Toc27094"/>
      <w:bookmarkStart w:id="151" w:name="_Toc1344"/>
      <w:bookmarkStart w:id="152" w:name="_Toc13225"/>
      <w:bookmarkStart w:id="153" w:name="_Toc14901"/>
      <w:bookmarkStart w:id="154" w:name="_Toc250"/>
      <w:bookmarkStart w:id="155" w:name="_Toc1152"/>
      <w:r>
        <w:rPr>
          <w:rFonts w:hint="eastAsia" w:ascii="宋体" w:hAnsi="宋体"/>
          <w:sz w:val="32"/>
          <w:szCs w:val="32"/>
          <w:lang w:val="en-US" w:eastAsia="zh-CN"/>
        </w:rPr>
        <w:t>按要求可免笔试、取消开考、减少招聘人数的岗位，于报名工作结束，由招聘单位提出意见报厦门医学院同意并报备厦门市人力资源和社会保障局（以下简称市人社局）。情况特殊确需降低开考比例的岗位，由招聘单位报厦门医学院同意后统一报市人社局批准。上述岗位开考情况届时在厦门医学院官网统一公告。</w:t>
      </w:r>
    </w:p>
    <w:p>
      <w:pPr>
        <w:pStyle w:val="2"/>
        <w:ind w:firstLine="643" w:firstLineChars="200"/>
        <w:rPr>
          <w:rFonts w:hint="eastAsia" w:ascii="黑体" w:hAnsi="黑体" w:eastAsia="黑体" w:cs="黑体"/>
          <w:sz w:val="32"/>
          <w:szCs w:val="32"/>
          <w:lang w:val="en-US" w:eastAsia="zh-CN"/>
        </w:rPr>
      </w:pPr>
      <w:bookmarkStart w:id="156" w:name="_Toc26906"/>
      <w:bookmarkStart w:id="157" w:name="_Toc9081"/>
      <w:r>
        <w:rPr>
          <w:rFonts w:hint="eastAsia" w:ascii="黑体" w:hAnsi="黑体" w:eastAsia="黑体" w:cs="黑体"/>
          <w:sz w:val="32"/>
          <w:szCs w:val="32"/>
          <w:lang w:val="en-US" w:eastAsia="zh-CN"/>
        </w:rPr>
        <w:t>四、资格复核</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资格复核由厦门医学院负责组织。资格复核时，考生应提供以下资料的原件及复印件，复印件需依序装订成册（一式2份）：</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一）2022届毕业生：报名表、准考证（或免笔试通知书）、本人有效身份证、个人简历、《就业推荐表》或学校开具的其他能证明2022届毕业生身份的材料、承诺书（详见附件）以及岗位资格条件要求的其他材料。</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（二）其他人员：报名表、准考证（或免笔试通知书）、本人有效身份证、个人简历、学历证、学位证以及岗位资格条件要求的其他材料。其中：</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按岗位资格条件以应届高校毕业生身份（不含2022届毕业生，具体界定详见本须知“十三、其他事项”中第四部分“应届高校毕业生”内容）报考的，还需提供原毕业学校或各级毕业生就业主管部门（毕业生就业指导服务中心）或各级人才交流服务机构或各级公共就业服务机构出具的证明材料。</w:t>
      </w:r>
    </w:p>
    <w:p>
      <w:pPr>
        <w:ind w:firstLine="640" w:firstLineChars="200"/>
        <w:rPr>
          <w:rFonts w:hint="default" w:ascii="宋体" w:hAnsi="宋体"/>
          <w:sz w:val="32"/>
          <w:szCs w:val="32"/>
          <w:lang w:val="en-US" w:eastAsia="zh-CN"/>
        </w:rPr>
      </w:pPr>
      <w:r>
        <w:rPr>
          <w:rFonts w:hint="eastAsia" w:ascii="宋体" w:hAnsi="宋体"/>
          <w:sz w:val="32"/>
          <w:szCs w:val="32"/>
          <w:lang w:val="en-US" w:eastAsia="zh-CN"/>
        </w:rPr>
        <w:t>2.主要学生干部包括本科或研究生学习期间担任：班级班长、副班长、党支部书记、副书记、团支部书记、副书记，院（系）级团委（团总支）、学生会部门负责人正职、副职及以上学生干部。其中：班级班长、副班长、党支部书记、副书记、团支部书记、副书记及以上学生干部须院（系）级党组织出具证明；院（系）级团委（团总支）、学生会部门负责人正职、副职及以上学生干部须院（系）级党组织或校团委出具证明；校团委（团总支）、学生会部门负责人正职、副职及以上学生干部，须校团委出具证明。出具的证明须明确任职职务和任职起止年月（不同时期的任职经历可分别开具，任职年限可累积计算）。</w:t>
      </w:r>
    </w:p>
    <w:p>
      <w:pPr>
        <w:ind w:firstLine="640" w:firstLineChars="200"/>
        <w:rPr>
          <w:rFonts w:hint="eastAsia" w:ascii="宋体" w:hAnsi="宋体"/>
          <w:sz w:val="32"/>
          <w:szCs w:val="32"/>
          <w:lang w:val="en-US" w:eastAsia="zh-CN"/>
        </w:rPr>
      </w:pPr>
      <w:bookmarkStart w:id="158" w:name="_Toc14943"/>
      <w:bookmarkStart w:id="159" w:name="_Toc8347"/>
      <w:bookmarkStart w:id="160" w:name="_Toc2716"/>
      <w:bookmarkStart w:id="161" w:name="_Toc32767"/>
      <w:bookmarkStart w:id="162" w:name="_Toc10884"/>
      <w:bookmarkStart w:id="163" w:name="_Toc13273"/>
      <w:bookmarkStart w:id="164" w:name="_Toc15383"/>
      <w:bookmarkStart w:id="165" w:name="_Toc12038"/>
      <w:bookmarkStart w:id="166" w:name="_Toc16925"/>
      <w:bookmarkStart w:id="167" w:name="_Toc5453"/>
      <w:bookmarkStart w:id="168" w:name="_Toc30212"/>
      <w:bookmarkStart w:id="169" w:name="_Toc2474"/>
      <w:bookmarkStart w:id="170" w:name="_Toc12491"/>
      <w:bookmarkStart w:id="171" w:name="_Toc4766"/>
      <w:bookmarkStart w:id="172" w:name="_Toc18301"/>
      <w:bookmarkStart w:id="173" w:name="_Toc16408"/>
      <w:bookmarkStart w:id="174" w:name="_Toc26712"/>
      <w:r>
        <w:rPr>
          <w:rFonts w:hint="eastAsia" w:ascii="宋体" w:hAnsi="宋体"/>
          <w:sz w:val="32"/>
          <w:szCs w:val="32"/>
          <w:lang w:val="en-US" w:eastAsia="zh-CN"/>
        </w:rPr>
        <w:t>3.福建省内机关、事业单位、公立医疗卫生机构工作人员（含军队的医疗机构人员，不含辅助、派遣性质人员）需征得所在单位同意方可报名，并需在资格复核时提供所在单位人事主管部门出具的同意报考书面证明（或已与单位解除劳动、聘用合同关系证明）；若暂时无法提供的，经招聘单位同意后可延至体检前提交，如体检前仍无法提交的，视为自动放弃体检资格。</w:t>
      </w:r>
    </w:p>
    <w:p>
      <w:pPr>
        <w:pStyle w:val="2"/>
        <w:ind w:firstLine="643" w:firstLineChars="200"/>
        <w:rPr>
          <w:rFonts w:hint="eastAsia" w:ascii="黑体" w:hAnsi="黑体" w:eastAsia="黑体" w:cs="黑体"/>
          <w:sz w:val="32"/>
          <w:szCs w:val="32"/>
          <w:lang w:val="en-US" w:eastAsia="zh-CN"/>
        </w:rPr>
      </w:pPr>
      <w:bookmarkStart w:id="175" w:name="_Toc9434"/>
      <w:bookmarkStart w:id="176" w:name="_Toc23557"/>
      <w:r>
        <w:rPr>
          <w:rFonts w:hint="eastAsia" w:ascii="黑体" w:hAnsi="黑体" w:eastAsia="黑体" w:cs="黑体"/>
          <w:sz w:val="32"/>
          <w:szCs w:val="32"/>
          <w:lang w:val="en-US" w:eastAsia="zh-CN"/>
        </w:rPr>
        <w:t>五、年龄、资格（历）等的计算办法</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如无特别说明，相关年限的计算、证书取得时间等，均指计算截至报名截止当月，即2022年5月。</w:t>
      </w:r>
    </w:p>
    <w:p>
      <w:pPr>
        <w:pStyle w:val="2"/>
        <w:ind w:firstLine="643" w:firstLineChars="200"/>
        <w:rPr>
          <w:rFonts w:hint="eastAsia" w:ascii="楷体" w:hAnsi="楷体" w:eastAsia="楷体" w:cs="楷体"/>
          <w:sz w:val="32"/>
          <w:szCs w:val="32"/>
        </w:rPr>
      </w:pPr>
      <w:bookmarkStart w:id="177" w:name="_Toc30273"/>
      <w:bookmarkStart w:id="178" w:name="_Toc4965"/>
      <w:bookmarkStart w:id="179" w:name="_Toc22502"/>
      <w:bookmarkStart w:id="180" w:name="_Toc25286"/>
      <w:bookmarkStart w:id="181" w:name="_Toc2134"/>
      <w:bookmarkStart w:id="182" w:name="_Toc24998"/>
      <w:bookmarkStart w:id="183" w:name="_Toc31651"/>
      <w:bookmarkStart w:id="184" w:name="_Toc31598"/>
      <w:bookmarkStart w:id="185" w:name="_Toc24492"/>
      <w:bookmarkStart w:id="186" w:name="_Toc4688"/>
      <w:bookmarkStart w:id="187" w:name="_Toc26340"/>
      <w:bookmarkStart w:id="188" w:name="_Toc23665"/>
      <w:bookmarkStart w:id="189" w:name="_Toc24364"/>
      <w:r>
        <w:rPr>
          <w:rFonts w:hint="eastAsia" w:ascii="楷体" w:hAnsi="楷体" w:eastAsia="楷体" w:cs="楷体"/>
          <w:sz w:val="32"/>
          <w:szCs w:val="32"/>
        </w:rPr>
        <w:t>（一）年龄</w:t>
      </w:r>
      <w:bookmarkEnd w:id="177"/>
      <w:bookmarkEnd w:id="178"/>
      <w:bookmarkEnd w:id="179"/>
      <w:bookmarkEnd w:id="180"/>
      <w:bookmarkEnd w:id="181"/>
      <w:bookmarkEnd w:id="182"/>
      <w:bookmarkEnd w:id="183"/>
      <w:bookmarkEnd w:id="184"/>
      <w:bookmarkEnd w:id="185"/>
      <w:bookmarkEnd w:id="186"/>
      <w:bookmarkEnd w:id="187"/>
      <w:bookmarkEnd w:id="188"/>
      <w:bookmarkEnd w:id="189"/>
    </w:p>
    <w:p>
      <w:pPr>
        <w:ind w:firstLine="640" w:firstLineChars="200"/>
        <w:rPr>
          <w:rFonts w:hint="eastAsia" w:ascii="宋体" w:hAnsi="宋体"/>
          <w:sz w:val="32"/>
          <w:szCs w:val="32"/>
          <w:lang w:val="en-US" w:eastAsia="zh-CN"/>
        </w:rPr>
      </w:pPr>
      <w:bookmarkStart w:id="190" w:name="_Toc27137"/>
      <w:r>
        <w:rPr>
          <w:rFonts w:hint="eastAsia" w:ascii="宋体" w:hAnsi="宋体"/>
          <w:sz w:val="32"/>
          <w:szCs w:val="32"/>
          <w:lang w:val="en-US" w:eastAsia="zh-CN"/>
        </w:rPr>
        <w:t>最高年龄要求35周岁是指18周岁以上、35周岁以下（在1986年5月至2004年5月期间出生）的人员。其他最高年龄要求的计算方法以此类推。</w:t>
      </w:r>
    </w:p>
    <w:p>
      <w:pPr>
        <w:pStyle w:val="2"/>
        <w:ind w:firstLine="643" w:firstLineChars="200"/>
        <w:rPr>
          <w:rFonts w:hint="eastAsia" w:ascii="楷体" w:hAnsi="楷体" w:eastAsia="楷体" w:cs="楷体"/>
          <w:sz w:val="32"/>
          <w:szCs w:val="32"/>
        </w:rPr>
      </w:pPr>
      <w:bookmarkStart w:id="191" w:name="_Toc22379"/>
      <w:bookmarkStart w:id="192" w:name="_Toc2208"/>
      <w:bookmarkStart w:id="193" w:name="_Toc15109"/>
      <w:bookmarkStart w:id="194" w:name="_Toc6705"/>
      <w:bookmarkStart w:id="195" w:name="_Toc21080"/>
      <w:bookmarkStart w:id="196" w:name="_Toc25726"/>
      <w:bookmarkStart w:id="197" w:name="_Toc30338"/>
      <w:bookmarkStart w:id="198" w:name="_Toc12186"/>
      <w:bookmarkStart w:id="199" w:name="_Toc31075"/>
      <w:bookmarkStart w:id="200" w:name="_Toc20127"/>
      <w:bookmarkStart w:id="201" w:name="_Toc22183"/>
      <w:bookmarkStart w:id="202" w:name="_Toc5888"/>
      <w:r>
        <w:rPr>
          <w:rFonts w:hint="eastAsia" w:ascii="楷体" w:hAnsi="楷体" w:eastAsia="楷体" w:cs="楷体"/>
          <w:sz w:val="32"/>
          <w:szCs w:val="32"/>
        </w:rPr>
        <w:t>（二）资格（历）等</w:t>
      </w:r>
      <w:bookmarkEnd w:id="190"/>
      <w:bookmarkEnd w:id="191"/>
      <w:bookmarkEnd w:id="192"/>
      <w:bookmarkEnd w:id="193"/>
      <w:bookmarkEnd w:id="194"/>
      <w:bookmarkEnd w:id="195"/>
      <w:bookmarkEnd w:id="196"/>
      <w:bookmarkEnd w:id="197"/>
      <w:bookmarkEnd w:id="198"/>
      <w:bookmarkEnd w:id="199"/>
      <w:bookmarkEnd w:id="200"/>
      <w:bookmarkEnd w:id="201"/>
      <w:bookmarkEnd w:id="202"/>
    </w:p>
    <w:p>
      <w:pPr>
        <w:ind w:firstLine="640" w:firstLineChars="200"/>
        <w:rPr>
          <w:rFonts w:hint="eastAsia" w:ascii="宋体" w:hAnsi="宋体"/>
          <w:sz w:val="32"/>
          <w:szCs w:val="32"/>
          <w:lang w:val="en-US" w:eastAsia="zh-CN"/>
        </w:rPr>
      </w:pPr>
      <w:bookmarkStart w:id="203" w:name="_Toc20934"/>
      <w:bookmarkStart w:id="204" w:name="_Toc3272"/>
      <w:bookmarkStart w:id="205" w:name="_Toc3023"/>
      <w:bookmarkStart w:id="206" w:name="_Toc8761"/>
      <w:bookmarkStart w:id="207" w:name="_Toc30031"/>
      <w:bookmarkStart w:id="208" w:name="_Toc21060"/>
      <w:bookmarkStart w:id="209" w:name="_Toc14196"/>
      <w:bookmarkStart w:id="210" w:name="_六、学历（位）认定"/>
      <w:r>
        <w:rPr>
          <w:rFonts w:hint="eastAsia" w:ascii="宋体" w:hAnsi="宋体"/>
          <w:sz w:val="32"/>
          <w:szCs w:val="32"/>
          <w:lang w:val="en-US" w:eastAsia="zh-CN"/>
        </w:rPr>
        <w:t>岗位要求具有“XX条件以上”的，如无特别说明，是指具有XX条件或XX条件以上所有条件中任何一个即可。如：具有2年以上工作经验，指截至报名截止当月具有2年或2年以上工作经验；取得初级以上专业技术职务任职资格指取得初级、中级或高级专业技术职务任职资格中的任何一项或其中两项或三项均可。</w:t>
      </w:r>
    </w:p>
    <w:p>
      <w:pPr>
        <w:pStyle w:val="2"/>
        <w:ind w:firstLine="643" w:firstLineChars="200"/>
        <w:rPr>
          <w:rFonts w:hint="eastAsia" w:ascii="黑体" w:hAnsi="黑体" w:eastAsia="黑体" w:cs="黑体"/>
          <w:sz w:val="32"/>
          <w:szCs w:val="32"/>
          <w:lang w:val="en-US" w:eastAsia="zh-CN"/>
        </w:rPr>
      </w:pPr>
      <w:bookmarkStart w:id="211" w:name="_Toc20168"/>
      <w:bookmarkStart w:id="212" w:name="_Toc29396"/>
      <w:bookmarkStart w:id="213" w:name="_Toc4096"/>
      <w:bookmarkStart w:id="214" w:name="_Toc8037"/>
      <w:bookmarkStart w:id="215" w:name="_Toc14411"/>
      <w:bookmarkStart w:id="216" w:name="_Toc23695"/>
      <w:bookmarkStart w:id="217" w:name="_Toc494"/>
      <w:bookmarkStart w:id="218" w:name="_Toc25905"/>
      <w:bookmarkStart w:id="219" w:name="_Toc2969"/>
      <w:bookmarkStart w:id="220" w:name="_Toc21793"/>
      <w:bookmarkStart w:id="221" w:name="_Toc30554"/>
      <w:bookmarkStart w:id="222" w:name="_Toc1339"/>
      <w:r>
        <w:rPr>
          <w:rFonts w:hint="eastAsia" w:ascii="黑体" w:hAnsi="黑体" w:eastAsia="黑体" w:cs="黑体"/>
          <w:sz w:val="32"/>
          <w:szCs w:val="32"/>
          <w:lang w:val="en-US" w:eastAsia="zh-CN"/>
        </w:rPr>
        <w:t>六、学历（位）认定</w:t>
      </w:r>
      <w:bookmarkEnd w:id="203"/>
      <w:bookmarkEnd w:id="204"/>
      <w:bookmarkEnd w:id="205"/>
      <w:bookmarkEnd w:id="206"/>
      <w:bookmarkEnd w:id="207"/>
      <w:bookmarkEnd w:id="208"/>
      <w:bookmarkEnd w:id="209"/>
      <w:bookmarkEnd w:id="211"/>
      <w:bookmarkEnd w:id="212"/>
      <w:bookmarkEnd w:id="213"/>
      <w:bookmarkEnd w:id="214"/>
      <w:bookmarkEnd w:id="215"/>
      <w:bookmarkEnd w:id="216"/>
      <w:bookmarkEnd w:id="217"/>
      <w:bookmarkEnd w:id="218"/>
      <w:bookmarkEnd w:id="219"/>
      <w:bookmarkEnd w:id="220"/>
      <w:bookmarkEnd w:id="221"/>
      <w:bookmarkEnd w:id="222"/>
    </w:p>
    <w:bookmarkEnd w:id="210"/>
    <w:p>
      <w:pPr>
        <w:pStyle w:val="2"/>
        <w:ind w:firstLine="643" w:firstLineChars="200"/>
        <w:rPr>
          <w:rFonts w:hint="eastAsia" w:ascii="楷体" w:hAnsi="楷体" w:eastAsia="楷体" w:cs="楷体"/>
          <w:sz w:val="32"/>
          <w:szCs w:val="32"/>
          <w:lang w:val="en-US" w:eastAsia="zh-CN"/>
        </w:rPr>
      </w:pPr>
      <w:bookmarkStart w:id="223" w:name="_Toc31172"/>
      <w:bookmarkStart w:id="224" w:name="_Toc18537"/>
      <w:bookmarkStart w:id="225" w:name="_Toc22144"/>
      <w:bookmarkStart w:id="226" w:name="_Toc1390"/>
      <w:bookmarkStart w:id="227" w:name="_Toc26083"/>
      <w:bookmarkStart w:id="228" w:name="_Toc21436"/>
      <w:bookmarkStart w:id="229" w:name="_Toc29879"/>
      <w:bookmarkStart w:id="230" w:name="_Toc31141"/>
      <w:bookmarkStart w:id="231" w:name="_Toc15768"/>
      <w:bookmarkStart w:id="232" w:name="_Toc15609"/>
      <w:bookmarkStart w:id="233" w:name="_Toc638"/>
      <w:bookmarkStart w:id="234" w:name="_Toc20018"/>
      <w:bookmarkStart w:id="235" w:name="_Toc23500"/>
      <w:bookmarkStart w:id="236" w:name="_Toc25204"/>
      <w:bookmarkStart w:id="237" w:name="_Toc6283"/>
      <w:bookmarkStart w:id="238" w:name="_Toc28427"/>
      <w:bookmarkStart w:id="239" w:name="_Toc12784"/>
      <w:bookmarkStart w:id="240" w:name="_Toc12445"/>
      <w:bookmarkStart w:id="241" w:name="_Toc7871"/>
      <w:bookmarkStart w:id="242" w:name="_Toc2759"/>
      <w:bookmarkStart w:id="243" w:name="_Toc8312"/>
      <w:bookmarkStart w:id="244" w:name="_Toc2427"/>
      <w:bookmarkStart w:id="245" w:name="_Toc28227"/>
      <w:bookmarkStart w:id="246" w:name="_Toc31069"/>
      <w:bookmarkStart w:id="247" w:name="_Toc23981"/>
      <w:bookmarkStart w:id="248" w:name="_Toc15074"/>
      <w:bookmarkStart w:id="249" w:name="_Toc23298"/>
      <w:bookmarkStart w:id="250" w:name="_Toc29498"/>
      <w:bookmarkStart w:id="251" w:name="_七、专业"/>
      <w:r>
        <w:rPr>
          <w:rFonts w:hint="eastAsia" w:ascii="楷体" w:hAnsi="楷体" w:eastAsia="楷体" w:cs="楷体"/>
          <w:sz w:val="32"/>
          <w:szCs w:val="32"/>
          <w:lang w:val="en-US" w:eastAsia="zh-CN"/>
        </w:rPr>
        <w:t>（一）境内学历（位）</w:t>
      </w:r>
      <w:bookmarkEnd w:id="223"/>
      <w:bookmarkEnd w:id="224"/>
      <w:bookmarkEnd w:id="225"/>
      <w:bookmarkEnd w:id="226"/>
      <w:bookmarkEnd w:id="227"/>
      <w:bookmarkEnd w:id="228"/>
      <w:bookmarkEnd w:id="229"/>
      <w:bookmarkEnd w:id="230"/>
      <w:bookmarkEnd w:id="231"/>
      <w:bookmarkEnd w:id="232"/>
      <w:bookmarkEnd w:id="233"/>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用于报考的学历（含自学考试、成人教育、网络教育、夜大、电大等）应在中国高等教育学生信息网（简称“学信网”，http://www.chsi.com.cn/）上可查询认证；符合报考专业要求的学位，应在中国学位与研究生教育信息网（简称“学位网”，http://www.cdgdc.edu.cn/）上可查询认证。以辅修专业报考的，应同时取得国家承认的列入国民教育序列学历毕业证书，且辅修专业相应信息可在“学信网”和“学位网”上查询。</w:t>
      </w:r>
    </w:p>
    <w:p>
      <w:pPr>
        <w:pStyle w:val="2"/>
        <w:ind w:firstLine="643" w:firstLineChars="200"/>
        <w:rPr>
          <w:rFonts w:hint="eastAsia" w:ascii="楷体" w:hAnsi="楷体" w:eastAsia="楷体" w:cs="楷体"/>
          <w:sz w:val="32"/>
          <w:szCs w:val="32"/>
          <w:lang w:val="en-US" w:eastAsia="zh-CN"/>
        </w:rPr>
      </w:pPr>
      <w:bookmarkStart w:id="252" w:name="_Toc19903"/>
      <w:bookmarkStart w:id="253" w:name="_Toc21019"/>
      <w:bookmarkStart w:id="254" w:name="_Toc26637"/>
      <w:bookmarkStart w:id="255" w:name="_Toc2494"/>
      <w:bookmarkStart w:id="256" w:name="_Toc16410"/>
      <w:bookmarkStart w:id="257" w:name="_Toc19890"/>
      <w:bookmarkStart w:id="258" w:name="_Toc25344"/>
      <w:bookmarkStart w:id="259" w:name="_Toc23481"/>
      <w:bookmarkStart w:id="260" w:name="_Toc3071"/>
      <w:bookmarkStart w:id="261" w:name="_Toc23222"/>
      <w:bookmarkStart w:id="262" w:name="_Toc5070"/>
      <w:r>
        <w:rPr>
          <w:rFonts w:hint="eastAsia" w:ascii="楷体" w:hAnsi="楷体" w:eastAsia="楷体" w:cs="楷体"/>
          <w:sz w:val="32"/>
          <w:szCs w:val="32"/>
          <w:lang w:val="en-US" w:eastAsia="zh-CN"/>
        </w:rPr>
        <w:t>（二）</w:t>
      </w:r>
      <w:bookmarkEnd w:id="252"/>
      <w:bookmarkEnd w:id="253"/>
      <w:bookmarkEnd w:id="254"/>
      <w:bookmarkEnd w:id="255"/>
      <w:bookmarkEnd w:id="256"/>
      <w:bookmarkEnd w:id="257"/>
      <w:bookmarkEnd w:id="258"/>
      <w:bookmarkEnd w:id="259"/>
      <w:r>
        <w:rPr>
          <w:rFonts w:hint="eastAsia" w:ascii="楷体" w:hAnsi="楷体" w:eastAsia="楷体" w:cs="楷体"/>
          <w:sz w:val="32"/>
          <w:szCs w:val="32"/>
          <w:lang w:val="en-US" w:eastAsia="zh-CN"/>
        </w:rPr>
        <w:t>国（境）外学历（位）</w:t>
      </w:r>
      <w:bookmarkEnd w:id="260"/>
      <w:bookmarkEnd w:id="261"/>
      <w:bookmarkEnd w:id="262"/>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持国（境）外学历（位）报考的，应提供教育部留学服务中心出具的《国外学历学位认证书》或《香港、澳门特别行政区学历学位认证书》等有关证明材料。</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属于国内院校与国（境）外院校联合办学取得国（境）外学历（位）的，需提供教育部留学服务中心出具的《联合办学学历学位评估意见书》或《联合办学学历学位认证书》。</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持境外学历（位）报考的2022届毕业生，在资格复核时也须提交承诺书（详见附件）。</w:t>
      </w:r>
    </w:p>
    <w:p>
      <w:pPr>
        <w:pStyle w:val="2"/>
        <w:ind w:firstLine="643" w:firstLineChars="200"/>
        <w:rPr>
          <w:rFonts w:hint="eastAsia" w:ascii="楷体" w:hAnsi="楷体" w:eastAsia="楷体" w:cs="楷体"/>
          <w:sz w:val="32"/>
          <w:szCs w:val="32"/>
          <w:lang w:val="en-US" w:eastAsia="zh-CN"/>
        </w:rPr>
      </w:pPr>
      <w:bookmarkStart w:id="263" w:name="_Toc16795"/>
      <w:bookmarkStart w:id="264" w:name="_Toc23613"/>
      <w:bookmarkStart w:id="265" w:name="_Toc32368"/>
      <w:bookmarkStart w:id="266" w:name="_Toc14163"/>
      <w:bookmarkStart w:id="267" w:name="_Toc10504"/>
      <w:bookmarkStart w:id="268" w:name="_Toc22445"/>
      <w:bookmarkStart w:id="269" w:name="_Toc8453"/>
      <w:bookmarkStart w:id="270" w:name="_Toc30743"/>
      <w:bookmarkStart w:id="271" w:name="_Toc11731"/>
      <w:bookmarkStart w:id="272" w:name="_Toc20163"/>
      <w:bookmarkStart w:id="273" w:name="_Toc2612"/>
      <w:r>
        <w:rPr>
          <w:rFonts w:hint="eastAsia" w:ascii="楷体" w:hAnsi="楷体" w:eastAsia="楷体" w:cs="楷体"/>
          <w:sz w:val="32"/>
          <w:szCs w:val="32"/>
          <w:lang w:val="en-US" w:eastAsia="zh-CN"/>
        </w:rPr>
        <w:t>（三）福建省“双学位”“双专业”</w:t>
      </w:r>
      <w:bookmarkEnd w:id="263"/>
      <w:bookmarkEnd w:id="264"/>
      <w:bookmarkEnd w:id="265"/>
      <w:bookmarkEnd w:id="266"/>
      <w:bookmarkEnd w:id="267"/>
      <w:bookmarkEnd w:id="268"/>
      <w:bookmarkEnd w:id="269"/>
      <w:bookmarkEnd w:id="270"/>
      <w:r>
        <w:rPr>
          <w:rFonts w:hint="eastAsia" w:ascii="楷体" w:hAnsi="楷体" w:eastAsia="楷体" w:cs="楷体"/>
          <w:sz w:val="32"/>
          <w:szCs w:val="32"/>
          <w:lang w:val="en-US" w:eastAsia="zh-CN"/>
        </w:rPr>
        <w:t>学历</w:t>
      </w:r>
      <w:bookmarkEnd w:id="271"/>
      <w:bookmarkEnd w:id="272"/>
      <w:bookmarkEnd w:id="273"/>
      <w:bookmarkStart w:id="274" w:name="_Toc14540"/>
      <w:bookmarkStart w:id="275" w:name="_Toc12030"/>
      <w:bookmarkStart w:id="276" w:name="_Toc513"/>
      <w:bookmarkStart w:id="277" w:name="_Toc4851"/>
      <w:bookmarkStart w:id="278" w:name="_Toc32514"/>
      <w:bookmarkStart w:id="279" w:name="_Toc16941"/>
      <w:bookmarkStart w:id="280" w:name="_Toc8728"/>
      <w:bookmarkStart w:id="281" w:name="_Toc17251"/>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根据《关于在全省高校毕业生中试行“双学位”“双专业”教育的意见》（闽教高〔2009〕9号），经修读达到毕业条件并获得“双学位”“双专业”证书的报考者，在本省范围内承认其学历、学位。</w:t>
      </w:r>
    </w:p>
    <w:p>
      <w:pPr>
        <w:pStyle w:val="2"/>
        <w:ind w:firstLine="643" w:firstLineChars="200"/>
        <w:rPr>
          <w:rFonts w:hint="eastAsia" w:ascii="楷体" w:hAnsi="楷体" w:eastAsia="楷体" w:cs="楷体"/>
          <w:sz w:val="32"/>
          <w:szCs w:val="32"/>
          <w:lang w:val="en-US" w:eastAsia="zh-CN"/>
        </w:rPr>
      </w:pPr>
      <w:bookmarkStart w:id="282" w:name="_Toc3665"/>
      <w:bookmarkStart w:id="283" w:name="_Toc28781"/>
      <w:bookmarkStart w:id="284" w:name="_Toc18490"/>
      <w:r>
        <w:rPr>
          <w:rFonts w:hint="eastAsia" w:ascii="楷体" w:hAnsi="楷体" w:eastAsia="楷体" w:cs="楷体"/>
          <w:sz w:val="32"/>
          <w:szCs w:val="32"/>
          <w:lang w:val="en-US" w:eastAsia="zh-CN"/>
        </w:rPr>
        <w:t>（四）提醒事项</w:t>
      </w:r>
      <w:bookmarkEnd w:id="274"/>
      <w:bookmarkEnd w:id="275"/>
      <w:bookmarkEnd w:id="276"/>
      <w:bookmarkEnd w:id="277"/>
      <w:bookmarkEnd w:id="278"/>
      <w:bookmarkEnd w:id="279"/>
      <w:bookmarkEnd w:id="280"/>
      <w:bookmarkEnd w:id="281"/>
      <w:bookmarkEnd w:id="282"/>
      <w:bookmarkEnd w:id="283"/>
      <w:bookmarkEnd w:id="284"/>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1.面试资格复核时，招聘单位将对学历、学位情况进行核查，请考生按照上述要求，提前做好相应认证报告或网上查验准备。</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全日制普通教育2022届毕业生和持国（境）外学历（位）报考者尚未取得相应学历（位）的，可持学校出具的《就业推荐表》或书面证明报名，本科及以下学历毕业生须于2022年9月30日前、研究生学历毕业生须于2022年12月31日前取得并能提供符合岗位报考资格条件的学历（位）证书，否则视为自动放弃考试（聘用）资格。</w:t>
      </w:r>
    </w:p>
    <w:p>
      <w:pPr>
        <w:pStyle w:val="2"/>
        <w:ind w:firstLine="643" w:firstLineChars="200"/>
        <w:rPr>
          <w:rFonts w:hint="eastAsia" w:ascii="黑体" w:hAnsi="黑体" w:eastAsia="黑体" w:cs="黑体"/>
          <w:sz w:val="32"/>
          <w:szCs w:val="32"/>
          <w:lang w:val="en-US" w:eastAsia="zh-CN"/>
        </w:rPr>
      </w:pPr>
      <w:bookmarkStart w:id="285" w:name="_Toc13759"/>
      <w:bookmarkStart w:id="286" w:name="_Toc4872"/>
      <w:r>
        <w:rPr>
          <w:rFonts w:hint="eastAsia" w:ascii="黑体" w:hAnsi="黑体" w:eastAsia="黑体" w:cs="黑体"/>
          <w:sz w:val="32"/>
          <w:szCs w:val="32"/>
          <w:lang w:val="en-US" w:eastAsia="zh-CN"/>
        </w:rPr>
        <w:t>七、专业</w:t>
      </w:r>
      <w:bookmarkEnd w:id="234"/>
      <w:bookmarkEnd w:id="235"/>
      <w:bookmarkEnd w:id="236"/>
      <w:bookmarkEnd w:id="237"/>
      <w:bookmarkEnd w:id="238"/>
      <w:bookmarkEnd w:id="239"/>
      <w:bookmarkEnd w:id="240"/>
      <w:r>
        <w:rPr>
          <w:rFonts w:hint="eastAsia" w:ascii="黑体" w:hAnsi="黑体" w:eastAsia="黑体" w:cs="黑体"/>
          <w:sz w:val="32"/>
          <w:szCs w:val="32"/>
          <w:lang w:val="en-US" w:eastAsia="zh-CN"/>
        </w:rPr>
        <w:t>认定</w:t>
      </w:r>
      <w:bookmarkEnd w:id="241"/>
      <w:bookmarkEnd w:id="242"/>
      <w:bookmarkEnd w:id="243"/>
      <w:bookmarkEnd w:id="244"/>
      <w:bookmarkEnd w:id="245"/>
      <w:bookmarkEnd w:id="246"/>
      <w:bookmarkEnd w:id="247"/>
      <w:bookmarkEnd w:id="248"/>
      <w:bookmarkEnd w:id="249"/>
      <w:bookmarkEnd w:id="250"/>
      <w:bookmarkEnd w:id="285"/>
      <w:bookmarkEnd w:id="286"/>
    </w:p>
    <w:bookmarkEnd w:id="251"/>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本次招聘考试以《福建省机关事业单位招考专业指导目录（2022年）》（以下简称《专业指导目录》）作为岗位专业条件设置和审核的依据。其他来源的专业指导目录不作为本次报考和审核的依据。</w:t>
      </w:r>
    </w:p>
    <w:p>
      <w:pPr>
        <w:pStyle w:val="2"/>
        <w:ind w:firstLine="643" w:firstLineChars="200"/>
        <w:rPr>
          <w:rFonts w:hint="eastAsia" w:ascii="楷体" w:hAnsi="楷体" w:eastAsia="楷体" w:cs="楷体"/>
          <w:sz w:val="32"/>
          <w:szCs w:val="32"/>
          <w:lang w:val="en-US" w:eastAsia="zh-CN"/>
        </w:rPr>
      </w:pPr>
      <w:bookmarkStart w:id="287" w:name="_Toc5122"/>
      <w:bookmarkStart w:id="288" w:name="_Toc5266"/>
      <w:bookmarkStart w:id="289" w:name="_Toc10798"/>
      <w:bookmarkStart w:id="290" w:name="_Toc19112"/>
      <w:bookmarkStart w:id="291" w:name="_Toc28523"/>
      <w:bookmarkStart w:id="292" w:name="_Toc29796"/>
      <w:bookmarkStart w:id="293" w:name="_Toc17987"/>
      <w:bookmarkStart w:id="294" w:name="_Toc20957"/>
      <w:bookmarkStart w:id="295" w:name="_Toc19439"/>
      <w:bookmarkStart w:id="296" w:name="_Toc5640"/>
      <w:bookmarkStart w:id="297" w:name="_Toc10963"/>
      <w:bookmarkStart w:id="298" w:name="_Toc10067"/>
      <w:bookmarkStart w:id="299" w:name="_Toc30503"/>
      <w:bookmarkStart w:id="300" w:name="_Toc23238"/>
      <w:bookmarkStart w:id="301" w:name="_Toc15080"/>
      <w:bookmarkStart w:id="302" w:name="_Toc17684"/>
      <w:bookmarkStart w:id="303" w:name="_Toc12880"/>
      <w:bookmarkStart w:id="304" w:name="_Toc3894"/>
      <w:bookmarkStart w:id="305" w:name="_Toc27118"/>
      <w:r>
        <w:rPr>
          <w:rFonts w:hint="eastAsia" w:ascii="楷体" w:hAnsi="楷体" w:eastAsia="楷体" w:cs="楷体"/>
          <w:sz w:val="32"/>
          <w:szCs w:val="32"/>
          <w:lang w:val="en-US" w:eastAsia="zh-CN"/>
        </w:rPr>
        <w:t>（一）填报专业名称</w:t>
      </w:r>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报考者报名时应严格按照所持证书（认证报告）所注明专业只字不差、如实填写所学专业。其中，全日制普通教育学历所学专业以毕业证书为准，非全日制普通教育学历和境外学历（位）所学专业以教育部学历（位）认证部门出具的认证报告为准。</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如所学专业有专业方向但未在毕业证书上体现的，报考者应先按照毕业证书上注明的专业填报，同时在报名信息表的备注栏中加以说明，并配合招聘单位要求提供本章节第  （三）款第2点列示的证明材料。</w:t>
      </w:r>
    </w:p>
    <w:p>
      <w:pPr>
        <w:pStyle w:val="2"/>
        <w:ind w:firstLine="643" w:firstLineChars="200"/>
        <w:rPr>
          <w:rFonts w:hint="eastAsia" w:ascii="楷体" w:hAnsi="楷体" w:eastAsia="楷体" w:cs="楷体"/>
          <w:sz w:val="32"/>
          <w:szCs w:val="32"/>
          <w:lang w:val="en-US" w:eastAsia="zh-CN"/>
        </w:rPr>
      </w:pPr>
      <w:bookmarkStart w:id="306" w:name="_Toc9992"/>
      <w:bookmarkStart w:id="307" w:name="_Toc25526"/>
      <w:bookmarkStart w:id="308" w:name="_Toc21547"/>
      <w:bookmarkStart w:id="309" w:name="_Toc26766"/>
      <w:bookmarkStart w:id="310" w:name="_Toc28657"/>
      <w:bookmarkStart w:id="311" w:name="_Toc28019"/>
      <w:bookmarkStart w:id="312" w:name="_Toc26794"/>
      <w:bookmarkStart w:id="313" w:name="_Toc18233"/>
      <w:bookmarkStart w:id="314" w:name="_Toc26297"/>
      <w:bookmarkStart w:id="315" w:name="_Toc28824"/>
      <w:bookmarkStart w:id="316" w:name="_Toc11746"/>
      <w:bookmarkStart w:id="317" w:name="_Toc11304"/>
      <w:bookmarkStart w:id="318" w:name="_Toc2160"/>
      <w:bookmarkStart w:id="319" w:name="_Toc22849"/>
      <w:bookmarkStart w:id="320" w:name="_Toc20623"/>
      <w:bookmarkStart w:id="321" w:name="_Toc29025"/>
      <w:bookmarkStart w:id="322" w:name="_Toc31729"/>
      <w:bookmarkStart w:id="323" w:name="_Toc8254"/>
      <w:bookmarkStart w:id="324" w:name="_Toc16584"/>
      <w:r>
        <w:rPr>
          <w:rFonts w:hint="eastAsia" w:ascii="楷体" w:hAnsi="楷体" w:eastAsia="楷体" w:cs="楷体"/>
          <w:sz w:val="32"/>
          <w:szCs w:val="32"/>
          <w:lang w:val="en-US" w:eastAsia="zh-CN"/>
        </w:rPr>
        <w:t>（二）专业与学历（位）的对应关系</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pPr>
        <w:ind w:firstLine="640" w:firstLineChars="200"/>
        <w:rPr>
          <w:rFonts w:hint="eastAsia" w:ascii="宋体" w:hAnsi="宋体"/>
          <w:sz w:val="32"/>
          <w:szCs w:val="32"/>
          <w:lang w:val="en-US" w:eastAsia="zh-CN"/>
        </w:rPr>
      </w:pPr>
      <w:bookmarkStart w:id="325" w:name="_Toc9196"/>
      <w:bookmarkStart w:id="326" w:name="_Toc11369"/>
      <w:bookmarkStart w:id="327" w:name="_Toc6351"/>
      <w:bookmarkStart w:id="328" w:name="_Toc30220"/>
      <w:bookmarkStart w:id="329" w:name="_Toc14267"/>
      <w:bookmarkStart w:id="330" w:name="_Toc17081"/>
      <w:bookmarkStart w:id="331" w:name="_Toc5876"/>
      <w:bookmarkStart w:id="332" w:name="_Toc6946"/>
      <w:bookmarkStart w:id="333" w:name="_Toc20923"/>
      <w:bookmarkStart w:id="334" w:name="_Toc8975"/>
      <w:bookmarkStart w:id="335" w:name="_Toc12099"/>
      <w:bookmarkStart w:id="336" w:name="_Toc11080"/>
      <w:bookmarkStart w:id="337" w:name="_Toc8502"/>
      <w:bookmarkStart w:id="338" w:name="_Toc32353"/>
      <w:bookmarkStart w:id="339" w:name="_Toc21515"/>
      <w:bookmarkStart w:id="340" w:name="_Toc6498"/>
      <w:bookmarkStart w:id="341" w:name="_Toc22335"/>
      <w:bookmarkStart w:id="342" w:name="_（三）专业资格的认定"/>
      <w:r>
        <w:rPr>
          <w:rFonts w:hint="eastAsia" w:ascii="宋体" w:hAnsi="宋体"/>
          <w:sz w:val="32"/>
          <w:szCs w:val="32"/>
          <w:lang w:val="en-US" w:eastAsia="zh-CN"/>
        </w:rPr>
        <w:t>报考者毕业证书的专业与岗位要求的专业条件应当一致，报考者可使用本人已获得的任意学历及其对应的专业进行报考，如具有研究生学历的报考者也可使用本人的本科学历及其对应的专业报考，但所用专业对应的学历不得低于该岗位设置的学历条件要求。</w:t>
      </w:r>
    </w:p>
    <w:p>
      <w:pPr>
        <w:pStyle w:val="2"/>
        <w:ind w:firstLine="643" w:firstLineChars="200"/>
        <w:rPr>
          <w:rFonts w:hint="eastAsia" w:ascii="楷体" w:hAnsi="楷体" w:eastAsia="楷体" w:cs="楷体"/>
          <w:sz w:val="32"/>
          <w:szCs w:val="32"/>
          <w:lang w:val="en-US" w:eastAsia="zh-CN"/>
        </w:rPr>
      </w:pPr>
      <w:bookmarkStart w:id="343" w:name="_Toc10989"/>
      <w:bookmarkStart w:id="344" w:name="_Toc2918"/>
      <w:r>
        <w:rPr>
          <w:rFonts w:hint="eastAsia" w:ascii="楷体" w:hAnsi="楷体" w:eastAsia="楷体" w:cs="楷体"/>
          <w:sz w:val="32"/>
          <w:szCs w:val="32"/>
          <w:lang w:val="en-US" w:eastAsia="zh-CN"/>
        </w:rPr>
        <w:t>（三）专业资格的认定</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3"/>
      <w:bookmarkEnd w:id="344"/>
    </w:p>
    <w:bookmarkEnd w:id="342"/>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1.专业条件为“××类”的岗位，报考者所学专业须符合《专业指导目录》中“××类”下所列专业，专业条件为具体专业名称的，报考者所学专业须符合所列专业。</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专业条件要求“临床医学”专业的，含“临床医学”或“临床医学硕士”或“临床医学博士”专业，其他专业以此类推。</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2.岗位资格条件要求“专业方向”的，报考者需提供主干课程成绩表、论文发表情况、学校证明等有效凭证（下同），由招聘单位会同厦门医学院确认。</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如报考者所学专业不在《专业指导目录》中但与拟报考岗位所需专业“相近、相似”的，报考者须参照上述佐证“专业方向”应提供的有效凭证，由招聘单位审核后报厦门医学院认定。报考者所学专业只字不差体现在《专业指导目录》中但未列入岗位所需专业要求的，不得报考该岗位。</w:t>
      </w:r>
    </w:p>
    <w:p>
      <w:pPr>
        <w:pStyle w:val="2"/>
        <w:ind w:firstLine="643" w:firstLineChars="200"/>
        <w:rPr>
          <w:rFonts w:hint="eastAsia" w:ascii="黑体" w:hAnsi="黑体" w:eastAsia="黑体" w:cs="黑体"/>
          <w:sz w:val="32"/>
          <w:szCs w:val="32"/>
          <w:lang w:val="en-US" w:eastAsia="zh-CN"/>
        </w:rPr>
      </w:pPr>
      <w:bookmarkStart w:id="345" w:name="_Toc5985"/>
      <w:bookmarkStart w:id="346" w:name="_Toc19746"/>
      <w:bookmarkStart w:id="347" w:name="_Toc2928"/>
      <w:bookmarkStart w:id="348" w:name="_Toc26125"/>
      <w:bookmarkStart w:id="349" w:name="_Toc10327"/>
      <w:bookmarkStart w:id="350" w:name="_Toc10277"/>
      <w:bookmarkStart w:id="351" w:name="_Toc3238"/>
      <w:bookmarkStart w:id="352" w:name="_Toc3386"/>
      <w:bookmarkStart w:id="353" w:name="_Toc28555"/>
      <w:bookmarkStart w:id="354" w:name="_Toc110"/>
      <w:bookmarkStart w:id="355" w:name="_Toc6797"/>
      <w:bookmarkStart w:id="356" w:name="_Toc29024"/>
      <w:bookmarkStart w:id="357" w:name="_Toc14102"/>
      <w:bookmarkStart w:id="358" w:name="_Toc22743"/>
      <w:bookmarkStart w:id="359" w:name="_Toc31095"/>
      <w:bookmarkStart w:id="360" w:name="_Toc23923"/>
      <w:bookmarkStart w:id="361" w:name="_Toc12218"/>
      <w:bookmarkStart w:id="362" w:name="_Toc24743"/>
      <w:bookmarkStart w:id="363" w:name="_Toc10422"/>
      <w:r>
        <w:rPr>
          <w:rFonts w:hint="eastAsia" w:ascii="黑体" w:hAnsi="黑体" w:eastAsia="黑体" w:cs="黑体"/>
          <w:sz w:val="32"/>
          <w:szCs w:val="32"/>
          <w:lang w:val="en-US" w:eastAsia="zh-CN"/>
        </w:rPr>
        <w:t>八、工作经验</w:t>
      </w:r>
      <w:bookmarkEnd w:id="345"/>
      <w:bookmarkEnd w:id="346"/>
      <w:bookmarkEnd w:id="347"/>
      <w:bookmarkEnd w:id="348"/>
      <w:bookmarkEnd w:id="349"/>
      <w:bookmarkEnd w:id="350"/>
      <w:r>
        <w:rPr>
          <w:rFonts w:hint="eastAsia" w:ascii="黑体" w:hAnsi="黑体" w:eastAsia="黑体" w:cs="黑体"/>
          <w:sz w:val="32"/>
          <w:szCs w:val="32"/>
          <w:lang w:val="en-US" w:eastAsia="zh-CN"/>
        </w:rPr>
        <w:t>认定</w:t>
      </w:r>
      <w:bookmarkEnd w:id="351"/>
      <w:bookmarkEnd w:id="352"/>
      <w:bookmarkEnd w:id="353"/>
      <w:bookmarkEnd w:id="354"/>
      <w:bookmarkEnd w:id="355"/>
      <w:bookmarkEnd w:id="356"/>
      <w:bookmarkEnd w:id="357"/>
      <w:bookmarkEnd w:id="358"/>
      <w:bookmarkEnd w:id="359"/>
      <w:bookmarkEnd w:id="360"/>
      <w:bookmarkEnd w:id="361"/>
      <w:bookmarkEnd w:id="362"/>
      <w:bookmarkEnd w:id="363"/>
    </w:p>
    <w:p>
      <w:pPr>
        <w:ind w:firstLine="640" w:firstLineChars="200"/>
        <w:rPr>
          <w:rFonts w:hint="eastAsia" w:ascii="宋体" w:hAnsi="宋体"/>
          <w:sz w:val="32"/>
          <w:szCs w:val="32"/>
          <w:lang w:val="en-US" w:eastAsia="zh-CN"/>
        </w:rPr>
      </w:pPr>
      <w:bookmarkStart w:id="364" w:name="_Toc11732"/>
      <w:bookmarkStart w:id="365" w:name="_Toc3728"/>
      <w:bookmarkStart w:id="366" w:name="_Toc25407"/>
      <w:bookmarkStart w:id="367" w:name="_Toc13553"/>
      <w:bookmarkStart w:id="368" w:name="_Toc14918"/>
      <w:bookmarkStart w:id="369" w:name="_Toc3985"/>
      <w:bookmarkStart w:id="370" w:name="_Toc20146"/>
      <w:r>
        <w:rPr>
          <w:rFonts w:hint="eastAsia" w:ascii="宋体" w:hAnsi="宋体"/>
          <w:sz w:val="32"/>
          <w:szCs w:val="32"/>
          <w:lang w:val="en-US" w:eastAsia="zh-CN"/>
        </w:rPr>
        <w:t>岗位资格条件要求“专业工作经验”的，报考者需提供养老保险缴费凭证或工资发放表等有效凭证、聘用(劳动)合同和所在单位出具的符合岗位资格条件要求的相关岗位的工作情况证明。全日制普通教育毕业生参加经人社部门核定的职业见习，若从事的工作与报考岗位要求的专业工作经验相关，其毕业后的职业见习年限可视同工作经验年限。</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不同单位的相同（似）工作经验证明可分别开具，工作年限可累计计算。</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全日制普通教育期间的社会实践经历(含兼职工作等)，不能视为工作经验。</w:t>
      </w:r>
    </w:p>
    <w:p>
      <w:pPr>
        <w:pStyle w:val="2"/>
        <w:ind w:firstLine="643" w:firstLineChars="200"/>
        <w:rPr>
          <w:rFonts w:hint="eastAsia" w:ascii="黑体" w:hAnsi="黑体" w:eastAsia="黑体" w:cs="黑体"/>
          <w:sz w:val="32"/>
          <w:szCs w:val="32"/>
          <w:lang w:val="en-US" w:eastAsia="zh-CN"/>
        </w:rPr>
      </w:pPr>
      <w:bookmarkStart w:id="371" w:name="_Toc20444"/>
      <w:bookmarkStart w:id="372" w:name="_Toc26621"/>
      <w:bookmarkStart w:id="373" w:name="_Toc31667"/>
      <w:bookmarkStart w:id="374" w:name="_Toc24612"/>
      <w:bookmarkStart w:id="375" w:name="_Toc5407"/>
      <w:bookmarkStart w:id="376" w:name="_Toc2593"/>
      <w:bookmarkStart w:id="377" w:name="_Toc10651"/>
      <w:bookmarkStart w:id="378" w:name="_Toc21010"/>
      <w:bookmarkStart w:id="379" w:name="_Toc31028"/>
      <w:bookmarkStart w:id="380" w:name="_Toc7690"/>
      <w:bookmarkStart w:id="381" w:name="_Toc4187"/>
      <w:bookmarkStart w:id="382" w:name="_Toc14788"/>
      <w:bookmarkStart w:id="383" w:name="_九、笔试加分"/>
      <w:r>
        <w:rPr>
          <w:rFonts w:hint="eastAsia" w:ascii="黑体" w:hAnsi="黑体" w:eastAsia="黑体" w:cs="黑体"/>
          <w:sz w:val="32"/>
          <w:szCs w:val="32"/>
          <w:lang w:val="en-US" w:eastAsia="zh-CN"/>
        </w:rPr>
        <w:t>九、笔试加分</w:t>
      </w:r>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bookmarkEnd w:id="383"/>
    <w:p>
      <w:pPr>
        <w:pStyle w:val="2"/>
        <w:ind w:firstLine="643" w:firstLineChars="200"/>
        <w:rPr>
          <w:rFonts w:hint="eastAsia" w:ascii="楷体" w:hAnsi="楷体" w:eastAsia="楷体" w:cs="楷体"/>
          <w:sz w:val="32"/>
          <w:szCs w:val="32"/>
          <w:lang w:val="en-US" w:eastAsia="zh-CN"/>
        </w:rPr>
      </w:pPr>
      <w:bookmarkStart w:id="384" w:name="_Toc1343"/>
      <w:bookmarkStart w:id="385" w:name="_Toc15513"/>
      <w:bookmarkStart w:id="386" w:name="_Toc29712"/>
      <w:bookmarkStart w:id="387" w:name="_Toc29708"/>
      <w:bookmarkStart w:id="388" w:name="_Toc7985"/>
      <w:bookmarkStart w:id="389" w:name="_Toc15147"/>
      <w:bookmarkStart w:id="390" w:name="_Toc13779"/>
      <w:bookmarkStart w:id="391" w:name="_Toc27893"/>
      <w:bookmarkStart w:id="392" w:name="_Toc11523"/>
      <w:bookmarkStart w:id="393" w:name="_Toc25150"/>
      <w:bookmarkStart w:id="394" w:name="_Toc5437"/>
      <w:bookmarkStart w:id="395" w:name="_Toc8544"/>
      <w:bookmarkStart w:id="396" w:name="_Toc24269"/>
      <w:bookmarkStart w:id="397" w:name="_Toc31605"/>
      <w:bookmarkStart w:id="398" w:name="_Toc16606"/>
      <w:bookmarkStart w:id="399" w:name="_Toc30306"/>
      <w:bookmarkStart w:id="400" w:name="_Toc32724"/>
      <w:bookmarkStart w:id="401" w:name="_Toc30017"/>
      <w:bookmarkStart w:id="402" w:name="_Toc7379"/>
      <w:bookmarkStart w:id="403" w:name="_（一）加分原则"/>
      <w:r>
        <w:rPr>
          <w:rFonts w:hint="eastAsia" w:ascii="楷体" w:hAnsi="楷体" w:eastAsia="楷体" w:cs="楷体"/>
          <w:sz w:val="32"/>
          <w:szCs w:val="32"/>
          <w:lang w:val="en-US" w:eastAsia="zh-CN"/>
        </w:rPr>
        <w:t>（一）加分原则</w:t>
      </w:r>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bookmarkEnd w:id="403"/>
    <w:p>
      <w:pPr>
        <w:ind w:firstLine="640" w:firstLineChars="200"/>
        <w:rPr>
          <w:rFonts w:hint="eastAsia" w:ascii="宋体" w:hAnsi="宋体"/>
          <w:sz w:val="32"/>
          <w:szCs w:val="32"/>
          <w:lang w:val="en-US" w:eastAsia="zh-CN"/>
        </w:rPr>
      </w:pPr>
      <w:bookmarkStart w:id="404" w:name="_Toc10411"/>
      <w:bookmarkStart w:id="405" w:name="_Toc16321"/>
      <w:bookmarkStart w:id="406" w:name="_Toc7079"/>
      <w:bookmarkStart w:id="407" w:name="_Toc1319"/>
      <w:bookmarkStart w:id="408" w:name="_Toc12207"/>
      <w:bookmarkStart w:id="409" w:name="_Toc9001"/>
      <w:bookmarkStart w:id="410" w:name="_Toc10919"/>
      <w:r>
        <w:rPr>
          <w:rFonts w:hint="eastAsia" w:ascii="宋体" w:hAnsi="宋体"/>
          <w:sz w:val="32"/>
          <w:szCs w:val="32"/>
          <w:lang w:val="en-US" w:eastAsia="zh-CN"/>
        </w:rPr>
        <w:t>笔试成绩=笔试卷面分+各项加分。</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加分仅限于笔试卷面分，免笔试人员在面试环节不享受加分。加分不受笔试满分限制。各项加分可累计计算，但累计最高不超过10分。曾通过享受政策待遇被录（聘）为公务员或事业单位编内工作人员的，不再享受相应项目的加分。</w:t>
      </w:r>
    </w:p>
    <w:p>
      <w:pPr>
        <w:pStyle w:val="2"/>
        <w:ind w:firstLine="643" w:firstLineChars="200"/>
        <w:rPr>
          <w:rFonts w:hint="eastAsia" w:ascii="楷体" w:hAnsi="楷体" w:eastAsia="楷体" w:cs="楷体"/>
          <w:sz w:val="32"/>
          <w:szCs w:val="32"/>
          <w:lang w:val="en-US" w:eastAsia="zh-CN"/>
        </w:rPr>
      </w:pPr>
      <w:bookmarkStart w:id="411" w:name="_Toc2000"/>
      <w:bookmarkStart w:id="412" w:name="_Toc28385"/>
      <w:bookmarkStart w:id="413" w:name="_Toc22113"/>
      <w:bookmarkStart w:id="414" w:name="_Toc6579"/>
      <w:bookmarkStart w:id="415" w:name="_Toc14416"/>
      <w:bookmarkStart w:id="416" w:name="_Toc20147"/>
      <w:bookmarkStart w:id="417" w:name="_Toc16488"/>
      <w:bookmarkStart w:id="418" w:name="_Toc6232"/>
      <w:bookmarkStart w:id="419" w:name="_Toc1181"/>
      <w:bookmarkStart w:id="420" w:name="_Toc28473"/>
      <w:bookmarkStart w:id="421" w:name="_Toc14854"/>
      <w:bookmarkStart w:id="422" w:name="_Toc24265"/>
      <w:bookmarkStart w:id="423" w:name="_（二）加分政策"/>
      <w:r>
        <w:rPr>
          <w:rFonts w:hint="eastAsia" w:ascii="楷体" w:hAnsi="楷体" w:eastAsia="楷体" w:cs="楷体"/>
          <w:sz w:val="32"/>
          <w:szCs w:val="32"/>
          <w:lang w:val="en-US" w:eastAsia="zh-CN"/>
        </w:rPr>
        <w:t>（二）加分政策</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bookmarkEnd w:id="423"/>
    <w:p>
      <w:pPr>
        <w:ind w:firstLine="640" w:firstLineChars="200"/>
        <w:rPr>
          <w:rFonts w:hint="eastAsia" w:ascii="宋体" w:hAnsi="宋体"/>
          <w:sz w:val="32"/>
          <w:szCs w:val="32"/>
          <w:lang w:val="en-US" w:eastAsia="zh-CN"/>
        </w:rPr>
      </w:pPr>
      <w:bookmarkStart w:id="424" w:name="_Toc18359_WPSOffice_Level1"/>
      <w:bookmarkStart w:id="425" w:name="_Toc29002"/>
      <w:bookmarkStart w:id="426" w:name="_Toc25367"/>
      <w:bookmarkStart w:id="427" w:name="_Toc5722"/>
      <w:bookmarkStart w:id="428" w:name="_Toc25623"/>
      <w:bookmarkStart w:id="429" w:name="_Toc7131"/>
      <w:bookmarkStart w:id="430" w:name="_Toc1601"/>
      <w:bookmarkStart w:id="431" w:name="_Toc3536"/>
      <w:r>
        <w:rPr>
          <w:rFonts w:hint="eastAsia" w:ascii="宋体" w:hAnsi="宋体"/>
          <w:sz w:val="32"/>
          <w:szCs w:val="32"/>
          <w:lang w:val="en-US" w:eastAsia="zh-CN"/>
        </w:rPr>
        <w:t>符合加分政策的报考者享受笔试加分待遇：</w:t>
      </w:r>
    </w:p>
    <w:p>
      <w:pPr>
        <w:ind w:left="643"/>
        <w:outlineLvl w:val="2"/>
        <w:rPr>
          <w:rFonts w:ascii="楷体" w:hAnsi="楷体" w:eastAsia="楷体" w:cs="楷体"/>
          <w:b/>
          <w:bCs/>
          <w:color w:val="000000" w:themeColor="text1"/>
          <w:sz w:val="32"/>
          <w:szCs w:val="32"/>
          <w:highlight w:val="none"/>
          <w14:textFill>
            <w14:solidFill>
              <w14:schemeClr w14:val="tx1"/>
            </w14:solidFill>
          </w14:textFill>
        </w:rPr>
      </w:pPr>
      <w:bookmarkStart w:id="432" w:name="_Toc21369"/>
      <w:bookmarkStart w:id="433" w:name="_Toc11783"/>
      <w:bookmarkStart w:id="434" w:name="_Toc29521"/>
      <w:bookmarkStart w:id="435" w:name="_Toc18177"/>
      <w:bookmarkStart w:id="436" w:name="_Toc17410"/>
      <w:bookmarkStart w:id="437" w:name="_Toc18421"/>
      <w:bookmarkStart w:id="438" w:name="_Toc28689"/>
      <w:r>
        <w:rPr>
          <w:rFonts w:ascii="楷体" w:hAnsi="楷体" w:eastAsia="楷体" w:cs="楷体"/>
          <w:b/>
          <w:bCs/>
          <w:color w:val="000000" w:themeColor="text1"/>
          <w:sz w:val="32"/>
          <w:szCs w:val="32"/>
          <w:highlight w:val="none"/>
          <w14:textFill>
            <w14:solidFill>
              <w14:schemeClr w14:val="tx1"/>
            </w14:solidFill>
          </w14:textFill>
        </w:rPr>
        <w:t>1.</w:t>
      </w:r>
      <w:r>
        <w:rPr>
          <w:rFonts w:hint="eastAsia" w:ascii="楷体" w:hAnsi="楷体" w:eastAsia="楷体" w:cs="楷体"/>
          <w:b/>
          <w:bCs/>
          <w:color w:val="000000" w:themeColor="text1"/>
          <w:sz w:val="32"/>
          <w:szCs w:val="32"/>
          <w:highlight w:val="none"/>
          <w14:textFill>
            <w14:solidFill>
              <w14:schemeClr w14:val="tx1"/>
            </w14:solidFill>
          </w14:textFill>
        </w:rPr>
        <w:t>服务基层项目高校毕业人员</w:t>
      </w:r>
      <w:bookmarkEnd w:id="432"/>
      <w:bookmarkEnd w:id="433"/>
      <w:bookmarkEnd w:id="434"/>
      <w:bookmarkEnd w:id="435"/>
      <w:bookmarkEnd w:id="436"/>
      <w:bookmarkEnd w:id="437"/>
      <w:bookmarkEnd w:id="438"/>
    </w:p>
    <w:p>
      <w:pPr>
        <w:ind w:firstLine="640" w:firstLineChars="200"/>
        <w:rPr>
          <w:rFonts w:hint="eastAsia" w:ascii="宋体" w:hAnsi="宋体"/>
          <w:sz w:val="32"/>
          <w:szCs w:val="32"/>
          <w:lang w:val="en-US" w:eastAsia="zh-CN"/>
        </w:rPr>
      </w:pPr>
      <w:bookmarkStart w:id="439" w:name="_Toc22893"/>
      <w:bookmarkStart w:id="440" w:name="_Toc32263"/>
      <w:bookmarkStart w:id="441" w:name="_Toc30094"/>
      <w:bookmarkStart w:id="442" w:name="_Toc30876"/>
      <w:bookmarkStart w:id="443" w:name="_Toc12200"/>
      <w:r>
        <w:rPr>
          <w:rFonts w:hint="eastAsia" w:ascii="宋体" w:hAnsi="宋体"/>
          <w:sz w:val="32"/>
          <w:szCs w:val="32"/>
          <w:lang w:val="en-US" w:eastAsia="zh-CN"/>
        </w:rPr>
        <w:t>参加国家和福建省组织实施的“三支一扶”计划、“志愿服务西部计划”（含研究生支教团）、“志愿服务欠发达地区计划”、大学生“村官”和“服务社区计划”，服务期限为1年及以上且于报名截止当月前期满考核合格的福建户籍或福建生源高校毕业人员：服务期限2年及以上且期满考核合格的，报考市属事业单位笔试卷面分加3分；服务期限1年及以上不满2年且期满考核合格的，报考市属事业单位不加分。</w:t>
      </w:r>
    </w:p>
    <w:p>
      <w:pPr>
        <w:ind w:left="643"/>
        <w:outlineLvl w:val="2"/>
        <w:rPr>
          <w:rFonts w:ascii="楷体" w:hAnsi="楷体" w:eastAsia="楷体" w:cs="楷体"/>
          <w:b/>
          <w:bCs/>
          <w:color w:val="000000" w:themeColor="text1"/>
          <w:sz w:val="32"/>
          <w:szCs w:val="32"/>
          <w:highlight w:val="none"/>
          <w14:textFill>
            <w14:solidFill>
              <w14:schemeClr w14:val="tx1"/>
            </w14:solidFill>
          </w14:textFill>
        </w:rPr>
      </w:pPr>
      <w:bookmarkStart w:id="444" w:name="_Toc15039"/>
      <w:bookmarkStart w:id="445" w:name="_Toc2879"/>
      <w:r>
        <w:rPr>
          <w:rFonts w:ascii="楷体" w:hAnsi="楷体" w:eastAsia="楷体" w:cs="楷体"/>
          <w:b/>
          <w:bCs/>
          <w:color w:val="000000" w:themeColor="text1"/>
          <w:sz w:val="32"/>
          <w:szCs w:val="32"/>
          <w:highlight w:val="none"/>
          <w14:textFill>
            <w14:solidFill>
              <w14:schemeClr w14:val="tx1"/>
            </w14:solidFill>
          </w14:textFill>
        </w:rPr>
        <w:t>2.</w:t>
      </w:r>
      <w:r>
        <w:rPr>
          <w:rFonts w:hint="eastAsia" w:ascii="楷体" w:hAnsi="楷体" w:eastAsia="楷体" w:cs="楷体"/>
          <w:b/>
          <w:bCs/>
          <w:color w:val="000000" w:themeColor="text1"/>
          <w:sz w:val="32"/>
          <w:szCs w:val="32"/>
          <w:highlight w:val="none"/>
          <w14:textFill>
            <w14:solidFill>
              <w14:schemeClr w14:val="tx1"/>
            </w14:solidFill>
          </w14:textFill>
        </w:rPr>
        <w:t>退役士兵（含大学生退役士兵）</w:t>
      </w:r>
      <w:bookmarkEnd w:id="439"/>
      <w:bookmarkEnd w:id="440"/>
      <w:bookmarkEnd w:id="441"/>
      <w:bookmarkEnd w:id="442"/>
      <w:bookmarkEnd w:id="443"/>
      <w:bookmarkEnd w:id="444"/>
      <w:bookmarkEnd w:id="445"/>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由福建省兵役机关批准入伍或福建生源的退役士兵（在福建省外应征入伍，但已于报名截止日前取得福建户籍的可参照），可享受以下笔试卷面分加分：服役满13年以上的加8分;服役满9年至12年的加6分;服役满6年至8年的加4分;服役满3年至5年的加2分;荣立二等功及以上的另加3分/次;荣立三等功的另加2分/次;获得优秀士官或优秀士兵或优秀义务兵荣誉称号的另加1分/次;伤残士兵另加3分;对在边防、高原、海岛等艰苦地区或从事飞行、舰艇工作5年及以上的，除享受以上加分外可再加3分；全日制普通教育大专以上学历学生在校期间应征入伍且退役后继续完成学业的，毕业后加5分；全日制普通教育大专以上学历毕业生应征入伍的，退役后加5分。</w:t>
      </w:r>
    </w:p>
    <w:p>
      <w:pPr>
        <w:ind w:left="643"/>
        <w:outlineLvl w:val="2"/>
        <w:rPr>
          <w:rFonts w:ascii="楷体" w:hAnsi="楷体" w:eastAsia="楷体" w:cs="楷体"/>
          <w:b/>
          <w:bCs/>
          <w:color w:val="000000" w:themeColor="text1"/>
          <w:sz w:val="32"/>
          <w:szCs w:val="32"/>
          <w:highlight w:val="none"/>
          <w14:textFill>
            <w14:solidFill>
              <w14:schemeClr w14:val="tx1"/>
            </w14:solidFill>
          </w14:textFill>
        </w:rPr>
      </w:pPr>
      <w:bookmarkStart w:id="446" w:name="_Toc28909"/>
      <w:bookmarkStart w:id="447" w:name="_Toc1258"/>
      <w:bookmarkStart w:id="448" w:name="_Toc9573"/>
      <w:bookmarkStart w:id="449" w:name="_Toc28593"/>
      <w:bookmarkStart w:id="450" w:name="_Toc1241"/>
      <w:bookmarkStart w:id="451" w:name="_Toc6083"/>
      <w:bookmarkStart w:id="452" w:name="_Toc18108"/>
      <w:r>
        <w:rPr>
          <w:rFonts w:ascii="楷体" w:hAnsi="楷体" w:eastAsia="楷体" w:cs="楷体"/>
          <w:b/>
          <w:bCs/>
          <w:color w:val="000000" w:themeColor="text1"/>
          <w:sz w:val="32"/>
          <w:szCs w:val="32"/>
          <w:highlight w:val="none"/>
          <w14:textFill>
            <w14:solidFill>
              <w14:schemeClr w14:val="tx1"/>
            </w14:solidFill>
          </w14:textFill>
        </w:rPr>
        <w:t>3.</w:t>
      </w:r>
      <w:r>
        <w:rPr>
          <w:rFonts w:hint="eastAsia" w:ascii="楷体" w:hAnsi="楷体" w:eastAsia="楷体" w:cs="楷体"/>
          <w:b/>
          <w:bCs/>
          <w:color w:val="000000" w:themeColor="text1"/>
          <w:sz w:val="32"/>
          <w:szCs w:val="32"/>
          <w:highlight w:val="none"/>
          <w14:textFill>
            <w14:solidFill>
              <w14:schemeClr w14:val="tx1"/>
            </w14:solidFill>
          </w14:textFill>
        </w:rPr>
        <w:t>退役优秀运动员</w:t>
      </w:r>
      <w:bookmarkEnd w:id="446"/>
      <w:bookmarkEnd w:id="447"/>
      <w:bookmarkEnd w:id="448"/>
      <w:bookmarkEnd w:id="449"/>
      <w:bookmarkEnd w:id="450"/>
      <w:bookmarkEnd w:id="451"/>
      <w:bookmarkEnd w:id="452"/>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厦门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pPr>
        <w:pStyle w:val="2"/>
        <w:ind w:firstLine="643" w:firstLineChars="200"/>
        <w:rPr>
          <w:rFonts w:hint="eastAsia" w:ascii="楷体" w:hAnsi="楷体" w:eastAsia="楷体" w:cs="楷体"/>
          <w:sz w:val="32"/>
          <w:szCs w:val="32"/>
          <w:lang w:val="en-US" w:eastAsia="zh-CN"/>
        </w:rPr>
      </w:pPr>
      <w:bookmarkStart w:id="453" w:name="_Toc7835"/>
      <w:bookmarkStart w:id="454" w:name="_Toc13156"/>
      <w:bookmarkStart w:id="455" w:name="_Toc27699"/>
      <w:bookmarkStart w:id="456" w:name="_Toc8388"/>
      <w:bookmarkStart w:id="457" w:name="_Toc12778"/>
      <w:bookmarkStart w:id="458" w:name="_Toc31621"/>
      <w:bookmarkStart w:id="459" w:name="_Toc12555"/>
      <w:bookmarkStart w:id="460" w:name="_Toc19099"/>
      <w:bookmarkStart w:id="461" w:name="_Toc3504"/>
      <w:bookmarkStart w:id="462" w:name="_Toc27192"/>
      <w:bookmarkStart w:id="463" w:name="_Toc17257"/>
      <w:bookmarkStart w:id="464" w:name="_Toc1576"/>
      <w:bookmarkStart w:id="465" w:name="_Toc22382"/>
      <w:bookmarkStart w:id="466" w:name="_Toc2647"/>
      <w:bookmarkStart w:id="467" w:name="_Toc20177"/>
      <w:bookmarkStart w:id="468" w:name="_Toc25623_WPSOffice_Level2"/>
      <w:bookmarkStart w:id="469" w:name="_Toc26877"/>
      <w:bookmarkStart w:id="470" w:name="_Toc5497"/>
      <w:bookmarkStart w:id="471" w:name="_Toc11555"/>
      <w:bookmarkStart w:id="472" w:name="_Toc31897"/>
      <w:bookmarkStart w:id="473" w:name="_Toc13263"/>
      <w:bookmarkStart w:id="474" w:name="_（三）加分证明"/>
      <w:r>
        <w:rPr>
          <w:rFonts w:hint="eastAsia" w:ascii="楷体" w:hAnsi="楷体" w:eastAsia="楷体" w:cs="楷体"/>
          <w:sz w:val="32"/>
          <w:szCs w:val="32"/>
          <w:lang w:val="en-US" w:eastAsia="zh-CN"/>
        </w:rPr>
        <w:t>（三）加分证明</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p>
    <w:bookmarkEnd w:id="474"/>
    <w:p>
      <w:pPr>
        <w:ind w:firstLine="640" w:firstLineChars="200"/>
        <w:rPr>
          <w:rFonts w:hint="eastAsia" w:ascii="宋体" w:hAnsi="宋体"/>
          <w:sz w:val="32"/>
          <w:szCs w:val="32"/>
          <w:lang w:val="en-US" w:eastAsia="zh-CN"/>
        </w:rPr>
      </w:pPr>
      <w:r>
        <w:rPr>
          <w:rFonts w:hint="eastAsia" w:ascii="宋体" w:hAnsi="宋体"/>
          <w:sz w:val="32"/>
          <w:szCs w:val="32"/>
          <w:lang w:val="en-US" w:eastAsia="zh-CN"/>
        </w:rPr>
        <w:t>符合加分政策的报考者须在报名时如实填报和上传加分证明资料，并于报名期间向招聘单位提交（提交方式请与招聘单位联系）以下资料的原件及复印件（复印件需依序装订成册，一式2份），否则视为自动放弃享受加分政策：</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1.基本资料：本人有效身份证正反面、户口本首页及个人页、学历（位）证；</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2.证明资料：</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（1）服务基层项目毕业生需提交组织实施相应项目的机构出具的服务基层期满考核合格证书（或服务期满考核合格材料）及福建户籍或福建生源证明材料。</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符合加分政策的退役士兵（含大学生退役士兵）安置在厦门市的，可于上班时间持身份证、退伍证前往安置地区级退役军人事务局开具证明材料；安置在厦门市以外的，可由安置地县级及以上退役军人事务部门开具证明。此前已由相关部门开具的证明继续有效。</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（3）符合加分政策的我市退役优秀运动员可持相应奖项证书前往厦门市体育局人事处开具证明材料(联系电话0592-5339323)。</w:t>
      </w:r>
    </w:p>
    <w:p>
      <w:pPr>
        <w:pStyle w:val="2"/>
        <w:ind w:firstLine="643" w:firstLineChars="200"/>
        <w:rPr>
          <w:rFonts w:hint="eastAsia" w:ascii="黑体" w:hAnsi="黑体" w:eastAsia="黑体" w:cs="黑体"/>
          <w:sz w:val="32"/>
          <w:szCs w:val="32"/>
          <w:lang w:val="en-US" w:eastAsia="zh-CN"/>
        </w:rPr>
      </w:pPr>
      <w:bookmarkStart w:id="475" w:name="_Toc10775"/>
      <w:bookmarkStart w:id="476" w:name="_Toc31386"/>
      <w:bookmarkStart w:id="477" w:name="_Toc32323"/>
      <w:bookmarkStart w:id="478" w:name="_Toc16283"/>
      <w:bookmarkStart w:id="479" w:name="_Toc13535"/>
      <w:bookmarkStart w:id="480" w:name="_Toc14230"/>
      <w:bookmarkStart w:id="481" w:name="_Toc2617"/>
      <w:bookmarkStart w:id="482" w:name="_Toc30027"/>
      <w:bookmarkStart w:id="483" w:name="_Toc24042"/>
      <w:bookmarkStart w:id="484" w:name="_Toc22845"/>
      <w:bookmarkStart w:id="485" w:name="_Toc21511"/>
      <w:bookmarkStart w:id="486" w:name="_Toc6716"/>
      <w:bookmarkStart w:id="487" w:name="_十、体检"/>
      <w:r>
        <w:rPr>
          <w:rFonts w:hint="eastAsia" w:ascii="黑体" w:hAnsi="黑体" w:eastAsia="黑体" w:cs="黑体"/>
          <w:sz w:val="32"/>
          <w:szCs w:val="32"/>
          <w:lang w:val="en-US" w:eastAsia="zh-CN"/>
        </w:rPr>
        <w:t>十、</w:t>
      </w:r>
      <w:bookmarkEnd w:id="424"/>
      <w:r>
        <w:rPr>
          <w:rFonts w:hint="eastAsia" w:ascii="黑体" w:hAnsi="黑体" w:eastAsia="黑体" w:cs="黑体"/>
          <w:sz w:val="32"/>
          <w:szCs w:val="32"/>
          <w:lang w:val="en-US" w:eastAsia="zh-CN"/>
        </w:rPr>
        <w:t>体检</w:t>
      </w:r>
      <w:bookmarkEnd w:id="425"/>
      <w:bookmarkEnd w:id="426"/>
      <w:bookmarkEnd w:id="427"/>
      <w:bookmarkEnd w:id="428"/>
      <w:bookmarkEnd w:id="429"/>
      <w:bookmarkEnd w:id="430"/>
      <w:bookmarkEnd w:id="431"/>
      <w:bookmarkEnd w:id="475"/>
      <w:bookmarkEnd w:id="476"/>
      <w:bookmarkEnd w:id="477"/>
      <w:bookmarkEnd w:id="478"/>
      <w:bookmarkEnd w:id="479"/>
      <w:bookmarkEnd w:id="480"/>
      <w:bookmarkEnd w:id="481"/>
      <w:bookmarkEnd w:id="482"/>
      <w:bookmarkEnd w:id="483"/>
      <w:bookmarkEnd w:id="484"/>
      <w:bookmarkEnd w:id="485"/>
      <w:bookmarkEnd w:id="486"/>
    </w:p>
    <w:bookmarkEnd w:id="487"/>
    <w:p>
      <w:pPr>
        <w:pStyle w:val="2"/>
        <w:ind w:firstLine="643" w:firstLineChars="200"/>
        <w:rPr>
          <w:rFonts w:hint="eastAsia" w:ascii="楷体" w:hAnsi="楷体" w:eastAsia="楷体" w:cs="楷体"/>
          <w:sz w:val="32"/>
          <w:szCs w:val="32"/>
          <w:lang w:val="en-US" w:eastAsia="zh-CN"/>
        </w:rPr>
      </w:pPr>
      <w:bookmarkStart w:id="488" w:name="_Toc32234"/>
      <w:bookmarkStart w:id="489" w:name="_Toc28695"/>
      <w:bookmarkStart w:id="490" w:name="_Toc3"/>
      <w:bookmarkStart w:id="491" w:name="_Toc19599"/>
      <w:bookmarkStart w:id="492" w:name="_Toc27514"/>
      <w:bookmarkStart w:id="493" w:name="_Toc27190"/>
      <w:bookmarkStart w:id="494" w:name="_Toc26089"/>
      <w:bookmarkStart w:id="495" w:name="_Toc31699"/>
      <w:bookmarkStart w:id="496" w:name="_Toc28070"/>
      <w:bookmarkStart w:id="497" w:name="_Toc6826"/>
      <w:bookmarkStart w:id="498" w:name="_Toc27716"/>
      <w:bookmarkStart w:id="499" w:name="_Toc25271"/>
      <w:bookmarkStart w:id="500" w:name="_Toc9385"/>
      <w:bookmarkStart w:id="501" w:name="_Toc12069"/>
      <w:bookmarkStart w:id="502" w:name="_Toc11664"/>
      <w:bookmarkStart w:id="503" w:name="_Toc28190"/>
      <w:bookmarkStart w:id="504" w:name="_Toc21135"/>
      <w:bookmarkStart w:id="505" w:name="_Toc17298"/>
      <w:bookmarkStart w:id="506" w:name="_Toc4037"/>
      <w:bookmarkStart w:id="507" w:name="_（一）确定人选"/>
      <w:r>
        <w:rPr>
          <w:rFonts w:hint="eastAsia" w:ascii="楷体" w:hAnsi="楷体" w:eastAsia="楷体" w:cs="楷体"/>
          <w:sz w:val="32"/>
          <w:szCs w:val="32"/>
          <w:lang w:val="en-US" w:eastAsia="zh-CN"/>
        </w:rPr>
        <w:t>（一）确定体检人选</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p>
    <w:bookmarkEnd w:id="507"/>
    <w:p>
      <w:pPr>
        <w:ind w:firstLine="640" w:firstLineChars="200"/>
        <w:rPr>
          <w:rFonts w:hint="eastAsia" w:ascii="宋体" w:hAnsi="宋体"/>
          <w:sz w:val="32"/>
          <w:szCs w:val="32"/>
          <w:lang w:val="en-US" w:eastAsia="zh-CN"/>
        </w:rPr>
      </w:pPr>
      <w:bookmarkStart w:id="508" w:name="_Toc12468"/>
      <w:bookmarkStart w:id="509" w:name="_Toc16053"/>
      <w:bookmarkStart w:id="510" w:name="_Toc30737"/>
      <w:bookmarkStart w:id="511" w:name="_Toc6116"/>
      <w:bookmarkStart w:id="512" w:name="_Toc29734"/>
      <w:bookmarkStart w:id="513" w:name="_Toc19417"/>
      <w:bookmarkStart w:id="514" w:name="_Toc16535"/>
      <w:bookmarkStart w:id="515" w:name="_Toc28613"/>
      <w:bookmarkStart w:id="516" w:name="_Toc2707"/>
      <w:bookmarkStart w:id="517" w:name="_Toc25487"/>
      <w:bookmarkStart w:id="518" w:name="_Toc31894"/>
      <w:bookmarkStart w:id="519" w:name="_Toc30664"/>
      <w:bookmarkStart w:id="520" w:name="_Toc23737"/>
      <w:bookmarkStart w:id="521" w:name="_Toc15471"/>
      <w:bookmarkStart w:id="522" w:name="_Toc29898"/>
      <w:bookmarkStart w:id="523" w:name="_Toc17027"/>
      <w:bookmarkStart w:id="524" w:name="_Toc5078"/>
      <w:r>
        <w:rPr>
          <w:rFonts w:hint="eastAsia" w:ascii="宋体" w:hAnsi="宋体"/>
          <w:sz w:val="32"/>
          <w:szCs w:val="32"/>
          <w:lang w:val="en-US" w:eastAsia="zh-CN"/>
        </w:rPr>
        <w:t>体检人选从笔试、面试成绩和综合总分均合格者中，根据综合总分排名，按岗位拟聘人数1:1的比例从高分至低分确定。</w:t>
      </w:r>
    </w:p>
    <w:p>
      <w:pPr>
        <w:pStyle w:val="2"/>
        <w:ind w:firstLine="643" w:firstLineChars="200"/>
        <w:rPr>
          <w:rFonts w:hint="eastAsia" w:ascii="楷体" w:hAnsi="楷体" w:eastAsia="楷体" w:cs="楷体"/>
          <w:sz w:val="32"/>
          <w:szCs w:val="32"/>
          <w:lang w:val="en-US" w:eastAsia="zh-CN"/>
        </w:rPr>
      </w:pPr>
      <w:bookmarkStart w:id="525" w:name="_Toc8144"/>
      <w:bookmarkStart w:id="526" w:name="_Toc23558"/>
      <w:r>
        <w:rPr>
          <w:rFonts w:hint="eastAsia" w:ascii="楷体" w:hAnsi="楷体" w:eastAsia="楷体" w:cs="楷体"/>
          <w:sz w:val="32"/>
          <w:szCs w:val="32"/>
          <w:lang w:val="en-US" w:eastAsia="zh-CN"/>
        </w:rPr>
        <w:t>（二）组织体检</w:t>
      </w:r>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体检由招聘单位组织实施。体检人员应根据招聘单位通知要求按时参加并配合体检，否则视为自动放弃体检资格。</w:t>
      </w:r>
    </w:p>
    <w:p>
      <w:pPr>
        <w:pStyle w:val="2"/>
        <w:ind w:firstLine="643" w:firstLineChars="200"/>
        <w:rPr>
          <w:rFonts w:hint="eastAsia" w:ascii="楷体" w:hAnsi="楷体" w:eastAsia="楷体" w:cs="楷体"/>
          <w:sz w:val="32"/>
          <w:szCs w:val="32"/>
          <w:lang w:val="en-US" w:eastAsia="zh-CN"/>
        </w:rPr>
      </w:pPr>
      <w:bookmarkStart w:id="527" w:name="_Toc20421"/>
      <w:bookmarkStart w:id="528" w:name="_Toc21764"/>
      <w:bookmarkStart w:id="529" w:name="_Toc12596"/>
      <w:bookmarkStart w:id="530" w:name="_Toc17435"/>
      <w:bookmarkStart w:id="531" w:name="_Toc14139"/>
      <w:bookmarkStart w:id="532" w:name="_Toc6069"/>
      <w:bookmarkStart w:id="533" w:name="_Toc7608"/>
      <w:bookmarkStart w:id="534" w:name="_Toc5442"/>
      <w:bookmarkStart w:id="535" w:name="_Toc30279"/>
      <w:bookmarkStart w:id="536" w:name="_Toc20297"/>
      <w:bookmarkStart w:id="537" w:name="_Toc20423"/>
      <w:bookmarkStart w:id="538" w:name="_Toc23700"/>
      <w:bookmarkStart w:id="539" w:name="_Toc15585"/>
      <w:bookmarkStart w:id="540" w:name="_Toc8135"/>
      <w:bookmarkStart w:id="541" w:name="_Toc8046"/>
      <w:bookmarkStart w:id="542" w:name="_Toc21540"/>
      <w:bookmarkStart w:id="543" w:name="_Toc12985"/>
      <w:bookmarkStart w:id="544" w:name="_Toc21516"/>
      <w:bookmarkStart w:id="545" w:name="_Toc6354"/>
      <w:bookmarkStart w:id="546" w:name="_（三）体检依据"/>
      <w:r>
        <w:rPr>
          <w:rFonts w:hint="eastAsia" w:ascii="楷体" w:hAnsi="楷体" w:eastAsia="楷体" w:cs="楷体"/>
          <w:sz w:val="32"/>
          <w:szCs w:val="32"/>
          <w:lang w:val="en-US" w:eastAsia="zh-CN"/>
        </w:rPr>
        <w:t>（三）体检依据</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p>
    <w:bookmarkEnd w:id="546"/>
    <w:p>
      <w:pPr>
        <w:ind w:firstLine="640" w:firstLineChars="200"/>
        <w:rPr>
          <w:rFonts w:hint="eastAsia" w:ascii="宋体" w:hAnsi="宋体"/>
          <w:sz w:val="32"/>
          <w:szCs w:val="32"/>
          <w:lang w:val="en-US" w:eastAsia="zh-CN"/>
        </w:rPr>
      </w:pPr>
      <w:bookmarkStart w:id="547" w:name="_Toc23446"/>
      <w:bookmarkStart w:id="548" w:name="_Toc13211"/>
      <w:bookmarkStart w:id="549" w:name="_Toc16762"/>
      <w:bookmarkStart w:id="550" w:name="_Toc29748"/>
      <w:bookmarkStart w:id="551" w:name="_Toc16484"/>
      <w:bookmarkStart w:id="552" w:name="_Toc30928"/>
      <w:bookmarkStart w:id="553" w:name="_Toc13607"/>
      <w:r>
        <w:rPr>
          <w:rFonts w:hint="eastAsia" w:ascii="宋体" w:hAnsi="宋体"/>
          <w:sz w:val="32"/>
          <w:szCs w:val="32"/>
          <w:lang w:val="en-US" w:eastAsia="zh-CN"/>
        </w:rPr>
        <w:t>本次招聘体检参照《公务员录用体检通用标准（试行）》和《公务员录用体检操作手册（试行）》和《关于修订〈公务员录用体检通用标准（试行）〉及〈公务员录用体检操作手册（试行）〉的通知》（人社部发〔2016〕140号）等文件的要求，特殊岗位有相应体检标准的可另行要求。具体检测方法由体检医院结合实际确定，体检结论以体检医院出具的体检报告为准。</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从事放射岗位人员还需根据《放射工作人员职业健康监护技术规范》（卫通〔2011〕2号）完成岗前必检项目的体检。从事医学检验、生物制药、生物材料工程岗位人员体检结果还应满足《公务员录用体检特殊标准（试行）》（人社部发〔2010〕82号）对身体条件的要求。</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体（复）检费用个人自理。凡在体检中弄虚作假或隐瞒真实身体状况的人员，取消聘用资格。</w:t>
      </w:r>
    </w:p>
    <w:p>
      <w:pPr>
        <w:pStyle w:val="2"/>
        <w:ind w:firstLine="643" w:firstLineChars="200"/>
        <w:rPr>
          <w:rFonts w:hint="eastAsia" w:ascii="楷体" w:hAnsi="楷体" w:eastAsia="楷体" w:cs="楷体"/>
          <w:sz w:val="32"/>
          <w:szCs w:val="32"/>
          <w:lang w:val="en-US" w:eastAsia="zh-CN"/>
        </w:rPr>
      </w:pPr>
      <w:bookmarkStart w:id="554" w:name="_Toc1981"/>
      <w:bookmarkStart w:id="555" w:name="_Toc15355"/>
      <w:bookmarkStart w:id="556" w:name="_Toc29311"/>
      <w:bookmarkStart w:id="557" w:name="_Toc15688"/>
      <w:bookmarkStart w:id="558" w:name="_Toc9401"/>
      <w:bookmarkStart w:id="559" w:name="_Toc17350"/>
      <w:bookmarkStart w:id="560" w:name="_Toc3118"/>
      <w:bookmarkStart w:id="561" w:name="_Toc10895"/>
      <w:bookmarkStart w:id="562" w:name="_Toc10496"/>
      <w:bookmarkStart w:id="563" w:name="_Toc15213"/>
      <w:bookmarkStart w:id="564" w:name="_Toc7086"/>
      <w:bookmarkStart w:id="565" w:name="_Toc6748"/>
      <w:bookmarkStart w:id="566" w:name="_（四）体检复检"/>
      <w:r>
        <w:rPr>
          <w:rFonts w:hint="eastAsia" w:ascii="楷体" w:hAnsi="楷体" w:eastAsia="楷体" w:cs="楷体"/>
          <w:sz w:val="32"/>
          <w:szCs w:val="32"/>
          <w:lang w:val="en-US" w:eastAsia="zh-CN"/>
        </w:rPr>
        <w:t>（四）体检复检</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bookmarkEnd w:id="566"/>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复检参照人力资源社会保障部、卫生部、国家公务员局《关于进一步做好公务员考试录用体检工作的通知》(人社部发〔2012〕65号)的有关规定执行，其中：</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 对心率、视力、听力、血压等项目达不到体检合格标准的，安排当日复检；对边缘性心脏杂音、病理性心电图、病理性杂音、频发早搏（心电图证实）等项目达不到体检合格标准的，安排当场复检。</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体检人员对非当日或非当场复检的体检项目结果有疑义的，可在接到体检结论的7日内提出复检申请，由招聘单位另行指定医院复检。复检时不得告知复检项目。复检只能进行1次，体检结论以复检的结果为准。自行体检的结果一律无效。</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3.招聘单位对体检人员体检结论有疑义的，也可在接到体检结论通知之日起7日内决定是否安排体检人员复检。</w:t>
      </w:r>
    </w:p>
    <w:p>
      <w:pPr>
        <w:pStyle w:val="2"/>
        <w:ind w:firstLine="643" w:firstLineChars="200"/>
        <w:rPr>
          <w:rFonts w:hint="eastAsia" w:ascii="楷体" w:hAnsi="楷体" w:eastAsia="楷体" w:cs="楷体"/>
          <w:sz w:val="32"/>
          <w:szCs w:val="32"/>
          <w:lang w:val="en-US" w:eastAsia="zh-CN"/>
        </w:rPr>
      </w:pPr>
      <w:bookmarkStart w:id="567" w:name="_Toc7769"/>
      <w:bookmarkStart w:id="568" w:name="_Toc1387"/>
      <w:bookmarkStart w:id="569" w:name="_Toc3060"/>
      <w:bookmarkStart w:id="570" w:name="_Toc18917"/>
      <w:bookmarkStart w:id="571" w:name="_Toc15620"/>
      <w:bookmarkStart w:id="572" w:name="_Toc4060"/>
      <w:bookmarkStart w:id="573" w:name="_Toc31883"/>
      <w:bookmarkStart w:id="574" w:name="_Toc10287"/>
      <w:bookmarkStart w:id="575" w:name="_Toc229"/>
      <w:bookmarkStart w:id="576" w:name="_Toc8900"/>
      <w:bookmarkStart w:id="577" w:name="_Toc31673"/>
      <w:bookmarkStart w:id="578" w:name="_Toc28126"/>
      <w:bookmarkStart w:id="579" w:name="_Toc32448"/>
      <w:bookmarkStart w:id="580" w:name="_Toc739"/>
      <w:bookmarkStart w:id="581" w:name="_Toc647"/>
      <w:bookmarkStart w:id="582" w:name="_Toc4346"/>
      <w:bookmarkStart w:id="583" w:name="_Toc11349"/>
      <w:bookmarkStart w:id="584" w:name="_Toc8084"/>
      <w:bookmarkStart w:id="585" w:name="_Toc2078"/>
      <w:r>
        <w:rPr>
          <w:rFonts w:hint="eastAsia" w:ascii="楷体" w:hAnsi="楷体" w:eastAsia="楷体" w:cs="楷体"/>
          <w:sz w:val="32"/>
          <w:szCs w:val="32"/>
          <w:lang w:val="en-US" w:eastAsia="zh-CN"/>
        </w:rPr>
        <w:t>（五）可延迟体检的情形</w:t>
      </w:r>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p>
    <w:p>
      <w:pPr>
        <w:ind w:firstLine="640" w:firstLineChars="200"/>
        <w:rPr>
          <w:rFonts w:hint="eastAsia" w:ascii="宋体" w:hAnsi="宋体"/>
          <w:sz w:val="32"/>
          <w:szCs w:val="32"/>
          <w:lang w:val="en-US" w:eastAsia="zh-CN"/>
        </w:rPr>
      </w:pPr>
      <w:bookmarkStart w:id="586" w:name="_Toc1565"/>
      <w:bookmarkStart w:id="587" w:name="_Toc6708"/>
      <w:bookmarkStart w:id="588" w:name="_Toc14215"/>
      <w:bookmarkStart w:id="589" w:name="_Toc28034"/>
      <w:bookmarkStart w:id="590" w:name="_Toc13622"/>
      <w:bookmarkStart w:id="591" w:name="_Toc8472"/>
      <w:bookmarkStart w:id="592" w:name="_Toc5225"/>
      <w:bookmarkStart w:id="593" w:name="_Toc12954"/>
      <w:bookmarkStart w:id="594" w:name="_Toc19941"/>
      <w:bookmarkStart w:id="595" w:name="_Toc27911"/>
      <w:bookmarkStart w:id="596" w:name="_Toc32366"/>
      <w:bookmarkStart w:id="597" w:name="_Toc2243"/>
      <w:bookmarkStart w:id="598" w:name="_Toc9255"/>
      <w:bookmarkStart w:id="599" w:name="_Toc18733"/>
      <w:bookmarkStart w:id="600" w:name="_Toc25090"/>
      <w:bookmarkStart w:id="601" w:name="_Toc22213"/>
      <w:bookmarkStart w:id="602" w:name="_Toc28818"/>
      <w:r>
        <w:rPr>
          <w:rFonts w:hint="eastAsia" w:ascii="宋体" w:hAnsi="宋体"/>
          <w:sz w:val="32"/>
          <w:szCs w:val="32"/>
          <w:lang w:val="en-US" w:eastAsia="zh-CN"/>
        </w:rPr>
        <w:t>女性报考者因怀孕、哺乳期需申请延期体检的，须提供相应的医学证明，由招聘单位确定延缓体检的合理期限。</w:t>
      </w:r>
    </w:p>
    <w:p>
      <w:pPr>
        <w:pStyle w:val="2"/>
        <w:ind w:firstLine="643" w:firstLineChars="200"/>
        <w:rPr>
          <w:rFonts w:hint="eastAsia" w:ascii="黑体" w:hAnsi="黑体" w:eastAsia="黑体" w:cs="黑体"/>
          <w:sz w:val="32"/>
          <w:szCs w:val="32"/>
          <w:lang w:val="en-US" w:eastAsia="zh-CN"/>
        </w:rPr>
      </w:pPr>
      <w:bookmarkStart w:id="603" w:name="_Toc13000"/>
      <w:bookmarkStart w:id="604" w:name="_Toc19609"/>
      <w:r>
        <w:rPr>
          <w:rFonts w:hint="eastAsia" w:ascii="黑体" w:hAnsi="黑体" w:eastAsia="黑体" w:cs="黑体"/>
          <w:sz w:val="32"/>
          <w:szCs w:val="32"/>
          <w:lang w:val="en-US" w:eastAsia="zh-CN"/>
        </w:rPr>
        <w:t>十一、考察</w:t>
      </w:r>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对体检合格的拟聘人员，由招聘单位组织考察其政治思想、道德品质、廉洁自律、能力素质、工作态度、学习和工作表现及是否需要回避等内容情况，并对拟聘人员的资格条件进行再次审核。</w:t>
      </w:r>
    </w:p>
    <w:p>
      <w:pPr>
        <w:ind w:firstLine="640" w:firstLineChars="200"/>
        <w:rPr>
          <w:rFonts w:hint="eastAsia" w:ascii="宋体" w:hAnsi="宋体"/>
          <w:sz w:val="32"/>
          <w:szCs w:val="32"/>
          <w:lang w:val="en-US" w:eastAsia="zh-CN"/>
        </w:rPr>
      </w:pPr>
      <w:bookmarkStart w:id="605" w:name="_Toc2077"/>
      <w:bookmarkStart w:id="606" w:name="_Toc9126"/>
      <w:bookmarkStart w:id="607" w:name="_Toc6994"/>
      <w:r>
        <w:rPr>
          <w:rFonts w:hint="eastAsia" w:ascii="宋体" w:hAnsi="宋体"/>
          <w:sz w:val="32"/>
          <w:szCs w:val="32"/>
          <w:lang w:val="en-US" w:eastAsia="zh-CN"/>
        </w:rPr>
        <w:t>考察工作前，招聘单位将通过中国执行信息公开网（http://zxgk.court.gov.cn/）核实考察对象有无失信被执行的情况，发现被依法列为失信联合惩戒对象的，取消聘用资格。</w:t>
      </w:r>
    </w:p>
    <w:p>
      <w:pPr>
        <w:pStyle w:val="2"/>
        <w:ind w:firstLine="643" w:firstLineChars="200"/>
        <w:rPr>
          <w:rFonts w:hint="eastAsia" w:ascii="黑体" w:hAnsi="黑体" w:eastAsia="黑体" w:cs="黑体"/>
          <w:sz w:val="32"/>
          <w:szCs w:val="32"/>
          <w:lang w:val="en-US" w:eastAsia="zh-CN"/>
        </w:rPr>
      </w:pPr>
      <w:bookmarkStart w:id="608" w:name="_Toc2045"/>
      <w:bookmarkStart w:id="609" w:name="_Toc29510"/>
      <w:bookmarkStart w:id="610" w:name="_Toc9121"/>
      <w:bookmarkStart w:id="611" w:name="_Toc10334"/>
      <w:bookmarkStart w:id="612" w:name="_Toc25758"/>
      <w:bookmarkStart w:id="613" w:name="_Toc8942"/>
      <w:bookmarkStart w:id="614" w:name="_Toc15036"/>
      <w:bookmarkStart w:id="615" w:name="_Toc6051"/>
      <w:bookmarkStart w:id="616" w:name="_Toc20089"/>
      <w:bookmarkStart w:id="617" w:name="_Toc13961"/>
      <w:bookmarkStart w:id="618" w:name="_Toc2745"/>
      <w:bookmarkStart w:id="619" w:name="_Toc3371"/>
      <w:bookmarkStart w:id="620" w:name="_Toc26510"/>
      <w:bookmarkStart w:id="621" w:name="_Toc824"/>
      <w:bookmarkStart w:id="622" w:name="_Toc16952"/>
      <w:bookmarkStart w:id="623" w:name="_Toc375"/>
      <w:r>
        <w:rPr>
          <w:rFonts w:hint="eastAsia" w:ascii="黑体" w:hAnsi="黑体" w:eastAsia="黑体" w:cs="黑体"/>
          <w:sz w:val="32"/>
          <w:szCs w:val="32"/>
          <w:lang w:val="en-US" w:eastAsia="zh-CN"/>
        </w:rPr>
        <w:t>十二、聘用</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Start w:id="624" w:name="_Toc15037"/>
      <w:bookmarkStart w:id="625" w:name="_Toc25406"/>
      <w:bookmarkStart w:id="626" w:name="_Toc5990"/>
    </w:p>
    <w:p>
      <w:pPr>
        <w:pStyle w:val="2"/>
        <w:ind w:firstLine="643" w:firstLineChars="200"/>
        <w:rPr>
          <w:rFonts w:hint="eastAsia" w:ascii="楷体" w:hAnsi="楷体" w:eastAsia="楷体" w:cs="楷体"/>
          <w:sz w:val="32"/>
          <w:szCs w:val="32"/>
          <w:lang w:val="en-US" w:eastAsia="zh-CN"/>
        </w:rPr>
      </w:pPr>
      <w:bookmarkStart w:id="627" w:name="_Toc14474"/>
      <w:bookmarkStart w:id="628" w:name="_Toc20735"/>
      <w:bookmarkStart w:id="629" w:name="_Toc1443"/>
      <w:bookmarkStart w:id="630" w:name="_Toc1476"/>
      <w:bookmarkStart w:id="631" w:name="_Toc14984"/>
      <w:bookmarkStart w:id="632" w:name="_Toc14162"/>
      <w:bookmarkStart w:id="633" w:name="_Toc8398"/>
      <w:bookmarkStart w:id="634" w:name="_Toc2326"/>
      <w:bookmarkStart w:id="635" w:name="_Toc14968"/>
      <w:bookmarkStart w:id="636" w:name="_Toc8031"/>
      <w:bookmarkStart w:id="637" w:name="_Toc28140"/>
      <w:bookmarkStart w:id="638" w:name="_Toc18613"/>
      <w:bookmarkStart w:id="639" w:name="_Toc15248"/>
      <w:bookmarkStart w:id="640" w:name="_Toc2648"/>
      <w:bookmarkStart w:id="641" w:name="_Toc19383"/>
      <w:bookmarkStart w:id="642" w:name="_Toc16593"/>
      <w:bookmarkStart w:id="643" w:name="_（一）手续办理"/>
      <w:r>
        <w:rPr>
          <w:rFonts w:hint="eastAsia" w:ascii="楷体" w:hAnsi="楷体" w:eastAsia="楷体" w:cs="楷体"/>
          <w:sz w:val="32"/>
          <w:szCs w:val="32"/>
          <w:lang w:val="en-US" w:eastAsia="zh-CN"/>
        </w:rPr>
        <w:t>（一）手续办理</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p>
    <w:bookmarkEnd w:id="643"/>
    <w:p>
      <w:pPr>
        <w:ind w:firstLine="640" w:firstLineChars="200"/>
        <w:rPr>
          <w:rFonts w:hint="eastAsia" w:ascii="宋体" w:hAnsi="宋体"/>
          <w:sz w:val="32"/>
          <w:szCs w:val="32"/>
          <w:lang w:val="en-US" w:eastAsia="zh-CN"/>
        </w:rPr>
      </w:pPr>
      <w:bookmarkStart w:id="644" w:name="_Toc7790"/>
      <w:bookmarkStart w:id="645" w:name="_Toc27606"/>
      <w:bookmarkStart w:id="646" w:name="_Toc5566"/>
      <w:bookmarkStart w:id="647" w:name="_Toc20553"/>
      <w:bookmarkStart w:id="648" w:name="_Toc18282"/>
      <w:bookmarkStart w:id="649" w:name="_Toc2233"/>
      <w:bookmarkStart w:id="650" w:name="_Toc3201"/>
      <w:bookmarkStart w:id="651" w:name="_Toc15329"/>
      <w:bookmarkStart w:id="652" w:name="_Toc5376"/>
      <w:bookmarkStart w:id="653" w:name="_Toc23497"/>
      <w:bookmarkStart w:id="654" w:name="_Toc27136"/>
      <w:bookmarkStart w:id="655" w:name="_Toc27370"/>
      <w:bookmarkStart w:id="656" w:name="_Toc15886"/>
      <w:bookmarkStart w:id="657" w:name="_Toc974"/>
      <w:bookmarkStart w:id="658" w:name="_Toc17386"/>
      <w:bookmarkStart w:id="659" w:name="_Toc1514"/>
      <w:bookmarkStart w:id="660" w:name="_Toc11701"/>
      <w:r>
        <w:rPr>
          <w:rFonts w:hint="eastAsia" w:ascii="宋体" w:hAnsi="宋体"/>
          <w:sz w:val="32"/>
          <w:szCs w:val="32"/>
          <w:lang w:val="en-US" w:eastAsia="zh-CN"/>
        </w:rPr>
        <w:t xml:space="preserve">公示结果无异议，或经招聘单位报厦门医学院核实不影响聘用的，拟聘人员应于公示期满后5个月内提供办理聘用手续所需的全部资料（含个人人事档案）。因情况确实特殊、无法在上述期限内提供完备资料的，拟聘人员需提交书面申请并与招聘单位协商一致后报厦门医学院核准，可适当延长资料提交时限（延长时限原则上不超过2个月），否则视为自动放弃聘用资格。 </w:t>
      </w:r>
    </w:p>
    <w:p>
      <w:pPr>
        <w:pStyle w:val="2"/>
        <w:ind w:firstLine="643" w:firstLineChars="200"/>
        <w:rPr>
          <w:rFonts w:hint="eastAsia" w:ascii="楷体" w:hAnsi="楷体" w:eastAsia="楷体" w:cs="楷体"/>
          <w:sz w:val="32"/>
          <w:szCs w:val="32"/>
          <w:lang w:val="en-US" w:eastAsia="zh-CN"/>
        </w:rPr>
      </w:pPr>
      <w:bookmarkStart w:id="661" w:name="_Toc1452"/>
      <w:bookmarkStart w:id="662" w:name="_Toc3110"/>
      <w:r>
        <w:rPr>
          <w:rFonts w:hint="eastAsia" w:ascii="楷体" w:hAnsi="楷体" w:eastAsia="楷体" w:cs="楷体"/>
          <w:sz w:val="32"/>
          <w:szCs w:val="32"/>
          <w:lang w:val="en-US" w:eastAsia="zh-CN"/>
        </w:rPr>
        <w:t>（二）岗位聘任</w:t>
      </w:r>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pPr>
        <w:ind w:firstLine="640" w:firstLineChars="200"/>
        <w:rPr>
          <w:rFonts w:hint="eastAsia" w:ascii="宋体" w:hAnsi="宋体"/>
          <w:sz w:val="32"/>
          <w:szCs w:val="32"/>
          <w:lang w:val="en-US" w:eastAsia="zh-CN"/>
        </w:rPr>
      </w:pPr>
      <w:bookmarkStart w:id="663" w:name="_Toc11026"/>
      <w:bookmarkStart w:id="664" w:name="_Toc7768"/>
      <w:bookmarkStart w:id="665" w:name="_Toc5705"/>
      <w:bookmarkStart w:id="666" w:name="_Toc18947"/>
      <w:bookmarkStart w:id="667" w:name="_Toc15865"/>
      <w:bookmarkStart w:id="668" w:name="_Toc30319"/>
      <w:bookmarkStart w:id="669" w:name="_Toc5335"/>
      <w:r>
        <w:rPr>
          <w:rFonts w:hint="eastAsia" w:ascii="宋体" w:hAnsi="宋体"/>
          <w:sz w:val="32"/>
          <w:szCs w:val="32"/>
          <w:lang w:val="en-US" w:eastAsia="zh-CN"/>
        </w:rPr>
        <w:t>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招聘单位应遵照事业单位岗位设置管理规定，按本单位发布的招聘岗位类别和级别对拟聘人员进行聘任。如招聘单位的拟聘岗位数量不足或拟聘人员不具备相应岗位聘任资格条件的，可实行高职低聘。</w:t>
      </w:r>
    </w:p>
    <w:p>
      <w:pPr>
        <w:pStyle w:val="2"/>
        <w:ind w:firstLine="643" w:firstLineChars="200"/>
        <w:rPr>
          <w:rFonts w:hint="eastAsia" w:ascii="黑体" w:hAnsi="黑体" w:eastAsia="黑体" w:cs="黑体"/>
          <w:sz w:val="32"/>
          <w:szCs w:val="32"/>
          <w:lang w:val="en-US" w:eastAsia="zh-CN"/>
        </w:rPr>
      </w:pPr>
      <w:bookmarkStart w:id="670" w:name="_Toc27336"/>
      <w:bookmarkStart w:id="671" w:name="_Toc13188"/>
      <w:bookmarkStart w:id="672" w:name="_Toc29840"/>
      <w:bookmarkStart w:id="673" w:name="_Toc25970"/>
      <w:bookmarkStart w:id="674" w:name="_Toc25740"/>
      <w:bookmarkStart w:id="675" w:name="_Toc8215"/>
      <w:bookmarkStart w:id="676" w:name="_Toc15292"/>
      <w:bookmarkStart w:id="677" w:name="_Toc12597"/>
      <w:bookmarkStart w:id="678" w:name="_Toc6764"/>
      <w:bookmarkStart w:id="679" w:name="_Toc5518"/>
      <w:bookmarkStart w:id="680" w:name="_Toc422"/>
      <w:bookmarkStart w:id="681" w:name="_Toc14354"/>
      <w:r>
        <w:rPr>
          <w:rFonts w:hint="eastAsia" w:ascii="黑体" w:hAnsi="黑体" w:eastAsia="黑体" w:cs="黑体"/>
          <w:sz w:val="32"/>
          <w:szCs w:val="32"/>
          <w:lang w:val="en-US" w:eastAsia="zh-CN"/>
        </w:rPr>
        <w:t>十三、其他事项</w:t>
      </w:r>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Start w:id="682" w:name="_Toc20963"/>
      <w:bookmarkStart w:id="683" w:name="_Toc28131"/>
      <w:bookmarkStart w:id="684" w:name="_Toc29849"/>
    </w:p>
    <w:p>
      <w:pPr>
        <w:pStyle w:val="2"/>
        <w:ind w:firstLine="643" w:firstLineChars="200"/>
        <w:rPr>
          <w:rFonts w:hint="eastAsia" w:ascii="楷体" w:hAnsi="楷体" w:eastAsia="楷体" w:cs="楷体"/>
          <w:sz w:val="32"/>
          <w:szCs w:val="32"/>
          <w:lang w:val="en-US" w:eastAsia="zh-CN"/>
        </w:rPr>
      </w:pPr>
      <w:bookmarkStart w:id="685" w:name="_Toc14964"/>
      <w:bookmarkStart w:id="686" w:name="_Toc1179"/>
      <w:bookmarkStart w:id="687" w:name="_Toc10955"/>
      <w:bookmarkStart w:id="688" w:name="_Toc8119"/>
      <w:bookmarkStart w:id="689" w:name="_Toc26162"/>
      <w:bookmarkStart w:id="690" w:name="_Toc11992"/>
      <w:bookmarkStart w:id="691" w:name="_Toc32512"/>
      <w:bookmarkStart w:id="692" w:name="_Toc18548"/>
      <w:bookmarkStart w:id="693" w:name="_Toc13475"/>
      <w:bookmarkStart w:id="694" w:name="_Toc2663"/>
      <w:bookmarkStart w:id="695" w:name="_Toc7430"/>
      <w:bookmarkStart w:id="696" w:name="_Toc5470"/>
      <w:bookmarkStart w:id="697" w:name="_Toc30716"/>
      <w:bookmarkStart w:id="698" w:name="_Toc12131"/>
      <w:bookmarkStart w:id="699" w:name="_Toc20020"/>
      <w:bookmarkStart w:id="700" w:name="_Toc310"/>
      <w:r>
        <w:rPr>
          <w:rFonts w:hint="eastAsia" w:ascii="楷体" w:hAnsi="楷体" w:eastAsia="楷体" w:cs="楷体"/>
          <w:sz w:val="32"/>
          <w:szCs w:val="32"/>
          <w:lang w:val="en-US" w:eastAsia="zh-CN"/>
        </w:rPr>
        <w:t>（一）中共党员</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岗位资格条件要求为“中共党员”的，中共预备党员也可报考。</w:t>
      </w:r>
    </w:p>
    <w:p>
      <w:pPr>
        <w:pStyle w:val="2"/>
        <w:ind w:firstLine="643" w:firstLineChars="200"/>
        <w:rPr>
          <w:rFonts w:hint="eastAsia" w:ascii="楷体" w:hAnsi="楷体" w:eastAsia="楷体" w:cs="楷体"/>
          <w:sz w:val="32"/>
          <w:szCs w:val="32"/>
          <w:lang w:val="en-US" w:eastAsia="zh-CN"/>
        </w:rPr>
      </w:pPr>
      <w:bookmarkStart w:id="701" w:name="_Toc12130"/>
      <w:bookmarkStart w:id="702" w:name="_Toc1658"/>
      <w:bookmarkStart w:id="703" w:name="_Toc29092"/>
      <w:bookmarkStart w:id="704" w:name="_Toc20117"/>
      <w:bookmarkStart w:id="705" w:name="_Toc1705"/>
      <w:bookmarkStart w:id="706" w:name="_Toc27100"/>
      <w:bookmarkStart w:id="707" w:name="_Toc26996"/>
      <w:bookmarkStart w:id="708" w:name="_Toc24529"/>
      <w:bookmarkStart w:id="709" w:name="_Toc5176"/>
      <w:bookmarkStart w:id="710" w:name="_Toc15299"/>
      <w:bookmarkStart w:id="711" w:name="_Toc9773"/>
      <w:bookmarkStart w:id="712" w:name="_Toc1238"/>
      <w:bookmarkStart w:id="713" w:name="_Toc31167"/>
      <w:bookmarkStart w:id="714" w:name="_Toc26653"/>
      <w:bookmarkStart w:id="715" w:name="_Toc17261"/>
      <w:bookmarkStart w:id="716" w:name="_Toc1653"/>
      <w:bookmarkStart w:id="717" w:name="_Toc29951"/>
      <w:bookmarkStart w:id="718" w:name="_Toc28915"/>
      <w:bookmarkStart w:id="719" w:name="_Toc27337"/>
      <w:r>
        <w:rPr>
          <w:rFonts w:hint="eastAsia" w:ascii="楷体" w:hAnsi="楷体" w:eastAsia="楷体" w:cs="楷体"/>
          <w:sz w:val="32"/>
          <w:szCs w:val="32"/>
          <w:lang w:val="en-US" w:eastAsia="zh-CN"/>
        </w:rPr>
        <w:t>（二）职称</w:t>
      </w:r>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pPr>
        <w:ind w:firstLine="640" w:firstLineChars="200"/>
        <w:rPr>
          <w:rFonts w:hint="eastAsia" w:ascii="宋体" w:hAnsi="宋体"/>
          <w:sz w:val="32"/>
          <w:szCs w:val="32"/>
          <w:lang w:val="en-US" w:eastAsia="zh-CN"/>
        </w:rPr>
      </w:pPr>
      <w:bookmarkStart w:id="720" w:name="_Toc32214"/>
      <w:bookmarkStart w:id="721" w:name="_Toc25614"/>
      <w:bookmarkStart w:id="722" w:name="_Toc4426"/>
      <w:bookmarkStart w:id="723" w:name="_Toc21039"/>
      <w:bookmarkStart w:id="724" w:name="_Toc23989"/>
      <w:bookmarkStart w:id="725" w:name="_Toc16150"/>
      <w:bookmarkStart w:id="726" w:name="_Toc10787"/>
      <w:bookmarkStart w:id="727" w:name="_Toc1744"/>
      <w:bookmarkStart w:id="728" w:name="_Toc2787"/>
      <w:bookmarkStart w:id="729" w:name="_Toc25308"/>
      <w:bookmarkStart w:id="730" w:name="_Toc16551"/>
      <w:bookmarkStart w:id="731" w:name="_Toc29540"/>
      <w:bookmarkStart w:id="732" w:name="_Toc31382"/>
      <w:bookmarkStart w:id="733" w:name="_Toc979"/>
      <w:bookmarkStart w:id="734" w:name="_Toc21952"/>
      <w:bookmarkStart w:id="735" w:name="_Toc2289"/>
      <w:bookmarkStart w:id="736" w:name="_Toc19212"/>
      <w:r>
        <w:rPr>
          <w:rFonts w:hint="eastAsia" w:ascii="宋体" w:hAnsi="宋体"/>
          <w:sz w:val="32"/>
          <w:szCs w:val="32"/>
          <w:lang w:val="en-US" w:eastAsia="zh-CN"/>
        </w:rPr>
        <w:t>岗位资格条件要求的职称是指经社会化评审、全国统一考试或考核确认等方式取得的专业技术职务任职资格，不含通过非公有制企业职称评审方式取得的职称。</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按照国家和省部规定自主评聘的卫生技术系列高级职称人员，须经福建省职改部门确认或颁发的卫生高级专业技术职务任职资格，方能作为岗位正常聘任和岗位级别晋升的依据。以非普通教育学历报考的考生，“医”类岗位须取得与岗位相符的执业助理医师及以上医师资格，“药、护、技”三类岗位须取得与岗位相符的卫生专业技术初级及以上职务任职资格。</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报考者已于报名截止日前通过岗位条件要求（含上述以非普通教育学历报考的考生须取得的资格要求）的相应资格证书考试（或评审等）但未取得证书的，须在资格复核时，提供通过考试成绩单、评审通过文件或考核确认表等有效材料。2022年毕业的医学专业“四证合一”应届研究生，在符合报考岗位其他资格条件的前提下，其医师资格证书可于2022年12月31日前随符合岗位报考条件的学历、学位证书一并提供。</w:t>
      </w:r>
    </w:p>
    <w:p>
      <w:pPr>
        <w:pStyle w:val="2"/>
        <w:ind w:firstLine="643" w:firstLineChars="200"/>
        <w:rPr>
          <w:rFonts w:hint="eastAsia" w:ascii="楷体" w:hAnsi="楷体" w:eastAsia="楷体" w:cs="楷体"/>
          <w:sz w:val="32"/>
          <w:szCs w:val="32"/>
          <w:lang w:val="en-US" w:eastAsia="zh-CN"/>
        </w:rPr>
      </w:pPr>
      <w:bookmarkStart w:id="737" w:name="_Toc30197"/>
      <w:bookmarkStart w:id="738" w:name="_Toc27294"/>
      <w:r>
        <w:rPr>
          <w:rFonts w:hint="eastAsia" w:ascii="楷体" w:hAnsi="楷体" w:eastAsia="楷体" w:cs="楷体"/>
          <w:sz w:val="32"/>
          <w:szCs w:val="32"/>
          <w:lang w:val="en-US" w:eastAsia="zh-CN"/>
        </w:rPr>
        <w:t>（三）规范化培训</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
    <w:p>
      <w:pPr>
        <w:ind w:firstLine="640" w:firstLineChars="200"/>
        <w:rPr>
          <w:rFonts w:hint="eastAsia" w:ascii="宋体" w:hAnsi="宋体"/>
          <w:sz w:val="32"/>
          <w:szCs w:val="32"/>
          <w:lang w:val="en-US" w:eastAsia="zh-CN"/>
        </w:rPr>
      </w:pPr>
      <w:bookmarkStart w:id="739" w:name="_Toc21766"/>
      <w:bookmarkStart w:id="740" w:name="_Toc4591"/>
      <w:bookmarkStart w:id="741" w:name="_Toc9207"/>
      <w:bookmarkStart w:id="742" w:name="_Toc18949"/>
      <w:bookmarkStart w:id="743" w:name="_Toc14906"/>
      <w:bookmarkStart w:id="744" w:name="_Toc4062"/>
      <w:bookmarkStart w:id="745" w:name="_Toc20667"/>
      <w:bookmarkStart w:id="746" w:name="_Toc23921"/>
      <w:bookmarkStart w:id="747" w:name="_Toc11629"/>
      <w:bookmarkStart w:id="748" w:name="_Toc24247"/>
      <w:bookmarkStart w:id="749" w:name="_Toc28576"/>
      <w:bookmarkStart w:id="750" w:name="_Toc9739"/>
      <w:bookmarkStart w:id="751" w:name="_Toc23760"/>
      <w:bookmarkStart w:id="752" w:name="_Toc21922"/>
      <w:bookmarkStart w:id="753" w:name="_Toc22175"/>
      <w:bookmarkStart w:id="754" w:name="_Toc24022"/>
      <w:bookmarkStart w:id="755" w:name="_Toc16990"/>
      <w:bookmarkStart w:id="756" w:name="_（四）应届高校毕业生"/>
      <w:r>
        <w:rPr>
          <w:rFonts w:hint="eastAsia" w:ascii="宋体" w:hAnsi="宋体"/>
          <w:sz w:val="32"/>
          <w:szCs w:val="32"/>
          <w:lang w:val="en-US" w:eastAsia="zh-CN"/>
        </w:rPr>
        <w:t>岗位资格条件要求完成住院医师规范化培训的，是指按照《住院医师规范化培训内容和标准（试行）》完成住院医师规范化培训内容并取得合格证书。</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报考者须于资格复核时提供岗位资格条件要求的规范化培训合格证书或通过考试成绩单。2022年毕业的医学专业“四证合一”应届研究生，在符合报考岗位其他资格条件的前提下，其住院医师规范化培训合格证书可于2022年12月31日前随符合岗位报考条件的学历、学位证书一并提供。</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面向社会招收的住院医师如为普通高校应届毕业生的，其住培合格当年在医疗卫生机构就业，按当年应届毕业生同等对待；经住培合格的本科学历临床医师，按临床医学、口腔医学、中医专业学位硕士研究生同等对待，其中住培合格证书中的培训专业原则上应当与招聘岗位的专业或类别要求相一致。</w:t>
      </w:r>
    </w:p>
    <w:p>
      <w:pPr>
        <w:pStyle w:val="2"/>
        <w:ind w:firstLine="643" w:firstLineChars="200"/>
        <w:rPr>
          <w:rFonts w:hint="eastAsia" w:ascii="楷体" w:hAnsi="楷体" w:eastAsia="楷体" w:cs="楷体"/>
          <w:sz w:val="32"/>
          <w:szCs w:val="32"/>
          <w:lang w:val="en-US" w:eastAsia="zh-CN"/>
        </w:rPr>
      </w:pPr>
      <w:bookmarkStart w:id="757" w:name="_Toc23661"/>
      <w:bookmarkStart w:id="758" w:name="_Toc2822"/>
      <w:r>
        <w:rPr>
          <w:rFonts w:hint="eastAsia" w:ascii="楷体" w:hAnsi="楷体" w:eastAsia="楷体" w:cs="楷体"/>
          <w:color w:val="auto"/>
          <w:sz w:val="32"/>
          <w:szCs w:val="32"/>
          <w:u w:val="none"/>
          <w:lang w:val="en-US" w:eastAsia="zh-CN"/>
        </w:rPr>
        <w:t>（四）应届高校毕业生</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7"/>
      <w:bookmarkEnd w:id="758"/>
    </w:p>
    <w:bookmarkEnd w:id="756"/>
    <w:p>
      <w:pPr>
        <w:ind w:firstLine="640" w:firstLineChars="200"/>
        <w:rPr>
          <w:rFonts w:hint="eastAsia" w:ascii="宋体" w:hAnsi="宋体"/>
          <w:sz w:val="32"/>
          <w:szCs w:val="32"/>
          <w:lang w:val="en-US" w:eastAsia="zh-CN"/>
        </w:rPr>
      </w:pPr>
      <w:bookmarkStart w:id="759" w:name="_Toc29449"/>
      <w:bookmarkStart w:id="760" w:name="_Toc21903"/>
      <w:bookmarkStart w:id="761" w:name="_Toc20713"/>
      <w:bookmarkStart w:id="762" w:name="_Toc26030"/>
      <w:bookmarkStart w:id="763" w:name="_Toc30902"/>
      <w:bookmarkStart w:id="764" w:name="_Toc16363"/>
      <w:bookmarkStart w:id="765" w:name="_Toc3674"/>
      <w:bookmarkStart w:id="766" w:name="_Toc20308"/>
      <w:bookmarkStart w:id="767" w:name="_Toc6986"/>
      <w:bookmarkStart w:id="768" w:name="_Toc20572"/>
      <w:bookmarkStart w:id="769" w:name="_Toc14117"/>
      <w:bookmarkStart w:id="770" w:name="_Toc2801"/>
      <w:bookmarkStart w:id="771" w:name="_Toc23084"/>
      <w:bookmarkStart w:id="772" w:name="_（五）全日制普通教育学历"/>
      <w:bookmarkStart w:id="773" w:name="_Toc17835_WPSOffice_Level2"/>
      <w:bookmarkStart w:id="774" w:name="_Toc3069"/>
      <w:bookmarkStart w:id="775" w:name="_Toc5428"/>
      <w:bookmarkStart w:id="776" w:name="_Toc18970"/>
      <w:bookmarkStart w:id="777" w:name="_Toc7516"/>
      <w:bookmarkStart w:id="778" w:name="_Toc14931"/>
      <w:bookmarkStart w:id="779" w:name="_Toc1147"/>
      <w:bookmarkStart w:id="780" w:name="_（五）生源"/>
      <w:bookmarkStart w:id="781" w:name="_Toc11834"/>
      <w:bookmarkStart w:id="782" w:name="_Toc14505"/>
      <w:r>
        <w:rPr>
          <w:rFonts w:hint="eastAsia" w:ascii="宋体" w:hAnsi="宋体"/>
          <w:sz w:val="32"/>
          <w:szCs w:val="32"/>
          <w:lang w:val="en-US" w:eastAsia="zh-CN"/>
        </w:rPr>
        <w:t>参照国家、福建省有关文件政策，本次招聘岗位资格条件中涉及面向应届高校毕业生的，包含以下对象：</w:t>
      </w:r>
      <w:bookmarkEnd w:id="759"/>
      <w:bookmarkEnd w:id="760"/>
      <w:bookmarkEnd w:id="761"/>
      <w:bookmarkEnd w:id="762"/>
      <w:bookmarkEnd w:id="763"/>
      <w:bookmarkEnd w:id="764"/>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1.2022届毕业生。在2022年1月1日至2022年12月31日间（以证书落款时间为准）取得国家承认的学历、学位证书的高校毕业生。</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2.截至报名截止日，离校未就业的2020届、2021届毕业生。2020届、2021届毕业生按照上述2022届毕业生进行类推界定。</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3.持国（境）外学历（位）报考者按上述两点类推界定，毕业时间界定以本须知“六、学历（位）认定”第（二）部分“国（境）外学历（位）”所述材料确定的学历（位）获得时间为准。</w:t>
      </w:r>
    </w:p>
    <w:p>
      <w:pPr>
        <w:ind w:firstLine="640" w:firstLineChars="200"/>
        <w:rPr>
          <w:rFonts w:hint="eastAsia" w:ascii="宋体" w:hAnsi="宋体"/>
          <w:sz w:val="32"/>
          <w:szCs w:val="32"/>
          <w:lang w:val="en-US" w:eastAsia="zh-CN"/>
        </w:rPr>
      </w:pPr>
      <w:r>
        <w:rPr>
          <w:rFonts w:hint="eastAsia" w:ascii="宋体" w:hAnsi="宋体"/>
          <w:sz w:val="32"/>
          <w:szCs w:val="32"/>
          <w:lang w:val="en-US" w:eastAsia="zh-CN"/>
        </w:rPr>
        <w:t>4.参加服务基层项目前无工作经历、服务期满考核合格后未享受优惠政策进入机关事业单位、期满考核合格2年内（指2020年后期满）的高校毕业生。“参加基层服务项目”的界定详见本须知“九、笔试加分”第（二）部分“加分政策”的“1.服务基层项目高校毕业人员”内容。</w:t>
      </w:r>
    </w:p>
    <w:p>
      <w:pPr>
        <w:pStyle w:val="2"/>
        <w:ind w:firstLine="643" w:firstLineChars="200"/>
        <w:rPr>
          <w:rFonts w:hint="eastAsia" w:ascii="楷体" w:hAnsi="楷体" w:eastAsia="楷体" w:cs="楷体"/>
          <w:color w:val="auto"/>
          <w:sz w:val="32"/>
          <w:szCs w:val="32"/>
          <w:u w:val="none"/>
          <w:lang w:val="en-US" w:eastAsia="zh-CN"/>
        </w:rPr>
      </w:pPr>
      <w:bookmarkStart w:id="783" w:name="_Toc32316"/>
      <w:bookmarkStart w:id="784" w:name="_Toc25553"/>
      <w:r>
        <w:rPr>
          <w:rFonts w:hint="eastAsia" w:ascii="楷体" w:hAnsi="楷体" w:eastAsia="楷体" w:cs="楷体"/>
          <w:color w:val="auto"/>
          <w:sz w:val="32"/>
          <w:szCs w:val="32"/>
          <w:u w:val="none"/>
          <w:lang w:val="en-US" w:eastAsia="zh-CN"/>
        </w:rPr>
        <w:t>（五）全日制普通教育学历</w:t>
      </w:r>
      <w:bookmarkEnd w:id="765"/>
      <w:bookmarkEnd w:id="766"/>
      <w:bookmarkEnd w:id="767"/>
      <w:bookmarkEnd w:id="768"/>
      <w:bookmarkEnd w:id="769"/>
      <w:bookmarkEnd w:id="770"/>
      <w:bookmarkEnd w:id="771"/>
      <w:bookmarkEnd w:id="783"/>
      <w:bookmarkEnd w:id="784"/>
    </w:p>
    <w:bookmarkEnd w:id="772"/>
    <w:p>
      <w:pPr>
        <w:pStyle w:val="2"/>
        <w:ind w:firstLine="640" w:firstLineChars="200"/>
        <w:rPr>
          <w:rFonts w:hint="eastAsia" w:ascii="宋体" w:hAnsi="宋体" w:eastAsia="宋体" w:cs="Times New Roman"/>
          <w:b w:val="0"/>
          <w:kern w:val="2"/>
          <w:sz w:val="32"/>
          <w:szCs w:val="32"/>
          <w:lang w:val="en-US" w:eastAsia="zh-CN" w:bidi="ar-SA"/>
        </w:rPr>
      </w:pPr>
      <w:bookmarkStart w:id="785" w:name="_Toc2410"/>
      <w:bookmarkStart w:id="786" w:name="_Toc14347"/>
      <w:bookmarkStart w:id="787" w:name="_Toc3474"/>
      <w:bookmarkStart w:id="788" w:name="_Toc28654"/>
      <w:bookmarkStart w:id="789" w:name="_Toc13340"/>
      <w:bookmarkStart w:id="790" w:name="_Toc21091"/>
      <w:bookmarkStart w:id="791" w:name="_Toc27310"/>
      <w:bookmarkStart w:id="792" w:name="_Toc20744"/>
      <w:bookmarkStart w:id="793" w:name="_Toc16291"/>
      <w:r>
        <w:rPr>
          <w:rFonts w:hint="eastAsia" w:ascii="宋体" w:hAnsi="宋体" w:eastAsia="宋体" w:cs="Times New Roman"/>
          <w:b w:val="0"/>
          <w:kern w:val="2"/>
          <w:sz w:val="32"/>
          <w:szCs w:val="32"/>
          <w:lang w:val="en-US" w:eastAsia="zh-CN" w:bidi="ar-SA"/>
        </w:rPr>
        <w:t>全日制普通教育学历是指经教育部门批准的具有普通高等、中等教育招生资格的高等、中等院校或科研院所、执行普通高等、中等教育统一招生计划、通过统一招生考试录取的、入学时将档案关系转到就读学校、按教学计划完成该学业、取得国家承认的学历。</w:t>
      </w:r>
      <w:bookmarkEnd w:id="785"/>
      <w:bookmarkEnd w:id="786"/>
      <w:bookmarkEnd w:id="787"/>
      <w:bookmarkEnd w:id="788"/>
      <w:bookmarkEnd w:id="789"/>
      <w:bookmarkEnd w:id="790"/>
      <w:bookmarkEnd w:id="791"/>
      <w:bookmarkEnd w:id="792"/>
      <w:bookmarkEnd w:id="793"/>
      <w:bookmarkStart w:id="794" w:name="_Toc29331"/>
      <w:bookmarkStart w:id="795" w:name="_（六）生源"/>
    </w:p>
    <w:p>
      <w:pPr>
        <w:pStyle w:val="2"/>
        <w:ind w:firstLine="643" w:firstLineChars="200"/>
        <w:rPr>
          <w:rFonts w:hint="eastAsia" w:ascii="楷体" w:hAnsi="楷体" w:eastAsia="楷体" w:cs="楷体"/>
          <w:sz w:val="32"/>
          <w:szCs w:val="32"/>
          <w:lang w:val="en-US" w:eastAsia="zh-CN"/>
        </w:rPr>
      </w:pPr>
      <w:bookmarkStart w:id="796" w:name="_Toc24804"/>
      <w:bookmarkStart w:id="797" w:name="_Toc5004"/>
      <w:bookmarkStart w:id="798" w:name="_Toc15840"/>
      <w:bookmarkStart w:id="799" w:name="_Toc30455"/>
      <w:bookmarkStart w:id="800" w:name="_Toc24094"/>
      <w:bookmarkStart w:id="801" w:name="_Toc30340"/>
      <w:bookmarkStart w:id="802" w:name="_Toc9934"/>
      <w:bookmarkStart w:id="803" w:name="_Toc17799"/>
      <w:r>
        <w:rPr>
          <w:rFonts w:hint="eastAsia" w:ascii="楷体" w:hAnsi="楷体" w:eastAsia="楷体" w:cs="楷体"/>
          <w:color w:val="auto"/>
          <w:sz w:val="32"/>
          <w:szCs w:val="32"/>
          <w:u w:val="none"/>
          <w:lang w:val="en-US" w:eastAsia="zh-CN"/>
        </w:rPr>
        <w:t>（六）</w:t>
      </w:r>
      <w:bookmarkEnd w:id="773"/>
      <w:r>
        <w:rPr>
          <w:rFonts w:hint="eastAsia" w:ascii="楷体" w:hAnsi="楷体" w:eastAsia="楷体" w:cs="楷体"/>
          <w:color w:val="auto"/>
          <w:sz w:val="32"/>
          <w:szCs w:val="32"/>
          <w:u w:val="none"/>
          <w:lang w:val="en-US" w:eastAsia="zh-CN"/>
        </w:rPr>
        <w:t>生源</w:t>
      </w:r>
      <w:bookmarkEnd w:id="774"/>
      <w:bookmarkEnd w:id="775"/>
      <w:bookmarkEnd w:id="776"/>
      <w:bookmarkEnd w:id="777"/>
      <w:bookmarkEnd w:id="778"/>
      <w:bookmarkEnd w:id="779"/>
      <w:bookmarkEnd w:id="794"/>
      <w:bookmarkEnd w:id="796"/>
      <w:bookmarkEnd w:id="797"/>
      <w:bookmarkEnd w:id="798"/>
      <w:bookmarkEnd w:id="799"/>
      <w:bookmarkEnd w:id="800"/>
      <w:bookmarkEnd w:id="801"/>
      <w:bookmarkEnd w:id="802"/>
      <w:bookmarkEnd w:id="803"/>
    </w:p>
    <w:bookmarkEnd w:id="780"/>
    <w:bookmarkEnd w:id="795"/>
    <w:p>
      <w:pPr>
        <w:ind w:firstLine="640" w:firstLineChars="200"/>
        <w:rPr>
          <w:rFonts w:hint="eastAsia" w:ascii="宋体" w:hAnsi="宋体" w:eastAsia="宋体" w:cs="Times New Roman"/>
          <w:b w:val="0"/>
          <w:kern w:val="2"/>
          <w:sz w:val="32"/>
          <w:szCs w:val="32"/>
          <w:lang w:val="en-US" w:eastAsia="zh-CN" w:bidi="ar-SA"/>
        </w:rPr>
      </w:pPr>
      <w:bookmarkStart w:id="804" w:name="_Toc26322"/>
      <w:bookmarkStart w:id="805" w:name="_Toc17719"/>
      <w:bookmarkStart w:id="806" w:name="_Toc9297"/>
      <w:bookmarkStart w:id="807" w:name="_Toc7571"/>
      <w:bookmarkStart w:id="808" w:name="_Toc29806"/>
      <w:bookmarkStart w:id="809" w:name="_Toc127"/>
      <w:bookmarkStart w:id="810" w:name="_Toc25702"/>
      <w:bookmarkStart w:id="811" w:name="_Toc2690"/>
      <w:bookmarkStart w:id="812" w:name="_Toc17019"/>
      <w:bookmarkStart w:id="813" w:name="_Toc24201"/>
      <w:bookmarkStart w:id="814" w:name="_Toc20567"/>
      <w:bookmarkStart w:id="815" w:name="_Toc26251"/>
      <w:bookmarkStart w:id="816" w:name="_Toc6750"/>
      <w:r>
        <w:rPr>
          <w:rFonts w:hint="eastAsia" w:ascii="宋体" w:hAnsi="宋体" w:eastAsia="宋体" w:cs="Times New Roman"/>
          <w:b w:val="0"/>
          <w:kern w:val="2"/>
          <w:sz w:val="32"/>
          <w:szCs w:val="32"/>
          <w:lang w:val="en-US" w:eastAsia="zh-CN" w:bidi="ar-SA"/>
        </w:rPr>
        <w:t>厦门生源毕业生指入学前（指考入取得第一个全日制普通教育学历的院校前，下同）户籍和学籍在厦门市的全日制普通教育毕业生。符合以下条件之一的普通教育全日制毕业生可参照厦门生源：</w:t>
      </w:r>
      <w:bookmarkEnd w:id="804"/>
      <w:bookmarkEnd w:id="805"/>
      <w:bookmarkEnd w:id="806"/>
      <w:bookmarkEnd w:id="807"/>
      <w:bookmarkEnd w:id="808"/>
      <w:bookmarkEnd w:id="809"/>
      <w:bookmarkEnd w:id="810"/>
    </w:p>
    <w:p>
      <w:pPr>
        <w:ind w:firstLine="640" w:firstLineChars="200"/>
        <w:rPr>
          <w:rFonts w:hint="eastAsia" w:ascii="宋体" w:hAnsi="宋体" w:eastAsia="宋体" w:cs="Times New Roman"/>
          <w:b w:val="0"/>
          <w:kern w:val="2"/>
          <w:sz w:val="32"/>
          <w:szCs w:val="32"/>
          <w:lang w:val="en-US" w:eastAsia="zh-CN" w:bidi="ar-SA"/>
        </w:rPr>
      </w:pPr>
      <w:bookmarkStart w:id="817" w:name="_Toc1886"/>
      <w:bookmarkStart w:id="818" w:name="_Toc12000"/>
      <w:bookmarkStart w:id="819" w:name="_Toc22909"/>
      <w:bookmarkStart w:id="820" w:name="_Toc11122"/>
      <w:bookmarkStart w:id="821" w:name="_Toc26848"/>
      <w:bookmarkStart w:id="822" w:name="_Toc4034"/>
      <w:bookmarkStart w:id="823" w:name="_Toc12136"/>
      <w:r>
        <w:rPr>
          <w:rFonts w:hint="eastAsia" w:ascii="宋体" w:hAnsi="宋体" w:eastAsia="宋体" w:cs="Times New Roman"/>
          <w:b w:val="0"/>
          <w:kern w:val="2"/>
          <w:sz w:val="32"/>
          <w:szCs w:val="32"/>
          <w:lang w:val="en-US" w:eastAsia="zh-CN" w:bidi="ar-SA"/>
        </w:rPr>
        <w:t>1.入学前户籍在厦门市但学籍不在厦门市的普通教育全日制毕业生；</w:t>
      </w:r>
      <w:bookmarkEnd w:id="817"/>
      <w:bookmarkEnd w:id="818"/>
      <w:bookmarkEnd w:id="819"/>
      <w:bookmarkEnd w:id="820"/>
      <w:bookmarkEnd w:id="821"/>
      <w:bookmarkEnd w:id="822"/>
      <w:bookmarkEnd w:id="823"/>
    </w:p>
    <w:p>
      <w:pPr>
        <w:ind w:firstLine="640" w:firstLineChars="200"/>
        <w:rPr>
          <w:rFonts w:hint="eastAsia" w:ascii="宋体" w:hAnsi="宋体" w:eastAsia="宋体" w:cs="Times New Roman"/>
          <w:b w:val="0"/>
          <w:kern w:val="2"/>
          <w:sz w:val="32"/>
          <w:szCs w:val="32"/>
          <w:lang w:val="en-US" w:eastAsia="zh-CN" w:bidi="ar-SA"/>
        </w:rPr>
      </w:pPr>
      <w:bookmarkStart w:id="824" w:name="_Toc15903"/>
      <w:bookmarkStart w:id="825" w:name="_Toc26076"/>
      <w:bookmarkStart w:id="826" w:name="_Toc16832"/>
      <w:bookmarkStart w:id="827" w:name="_Toc29287"/>
      <w:bookmarkStart w:id="828" w:name="_Toc27435"/>
      <w:bookmarkStart w:id="829" w:name="_Toc13042"/>
      <w:bookmarkStart w:id="830" w:name="_Toc13518"/>
      <w:r>
        <w:rPr>
          <w:rFonts w:hint="eastAsia" w:ascii="宋体" w:hAnsi="宋体" w:eastAsia="宋体" w:cs="Times New Roman"/>
          <w:b w:val="0"/>
          <w:kern w:val="2"/>
          <w:sz w:val="32"/>
          <w:szCs w:val="32"/>
          <w:lang w:val="en-US" w:eastAsia="zh-CN" w:bidi="ar-SA"/>
        </w:rPr>
        <w:t>2.入学前户籍和学籍虽不在厦门市，但在本次公开招聘报名截止日前父母或配偶有一方户籍在厦门市的普通教育全日制2022届毕业生；</w:t>
      </w:r>
      <w:bookmarkEnd w:id="824"/>
      <w:bookmarkEnd w:id="825"/>
      <w:bookmarkEnd w:id="826"/>
      <w:bookmarkEnd w:id="827"/>
      <w:bookmarkEnd w:id="828"/>
      <w:bookmarkEnd w:id="829"/>
      <w:bookmarkEnd w:id="830"/>
    </w:p>
    <w:p>
      <w:pPr>
        <w:ind w:firstLine="640" w:firstLineChars="200"/>
        <w:rPr>
          <w:rFonts w:hint="eastAsia" w:ascii="宋体" w:hAnsi="宋体" w:eastAsia="宋体" w:cs="Times New Roman"/>
          <w:b w:val="0"/>
          <w:kern w:val="2"/>
          <w:sz w:val="32"/>
          <w:szCs w:val="32"/>
          <w:lang w:val="en-US" w:eastAsia="zh-CN" w:bidi="ar-SA"/>
        </w:rPr>
      </w:pPr>
      <w:bookmarkStart w:id="831" w:name="_Toc19098"/>
      <w:bookmarkStart w:id="832" w:name="_Toc29894"/>
      <w:bookmarkStart w:id="833" w:name="_Toc8311"/>
      <w:bookmarkStart w:id="834" w:name="_Toc21929"/>
      <w:bookmarkStart w:id="835" w:name="_Toc10722"/>
      <w:bookmarkStart w:id="836" w:name="_Toc27637"/>
      <w:bookmarkStart w:id="837" w:name="_Toc726"/>
      <w:r>
        <w:rPr>
          <w:rFonts w:hint="eastAsia" w:ascii="宋体" w:hAnsi="宋体" w:eastAsia="宋体" w:cs="Times New Roman"/>
          <w:b w:val="0"/>
          <w:kern w:val="2"/>
          <w:sz w:val="32"/>
          <w:szCs w:val="32"/>
          <w:lang w:val="en-US" w:eastAsia="zh-CN" w:bidi="ar-SA"/>
        </w:rPr>
        <w:t>3.根据厦府办〔2011〕229号文规定来我市就读普通高中且将户籍迁入我市的外来学生，普通高中毕业后从我市考入普通高等院校的全日制普通教育毕业生。</w:t>
      </w:r>
      <w:bookmarkEnd w:id="831"/>
      <w:bookmarkEnd w:id="832"/>
      <w:bookmarkEnd w:id="833"/>
      <w:bookmarkEnd w:id="834"/>
      <w:bookmarkEnd w:id="835"/>
      <w:bookmarkEnd w:id="836"/>
      <w:bookmarkEnd w:id="837"/>
    </w:p>
    <w:p>
      <w:pPr>
        <w:ind w:firstLine="640" w:firstLineChars="200"/>
        <w:rPr>
          <w:rFonts w:hint="eastAsia" w:ascii="??_GB2312" w:eastAsia="Times New Roman"/>
          <w:color w:val="000000" w:themeColor="text1"/>
          <w:sz w:val="32"/>
          <w:szCs w:val="32"/>
          <w:highlight w:val="none"/>
          <w14:textFill>
            <w14:solidFill>
              <w14:schemeClr w14:val="tx1"/>
            </w14:solidFill>
          </w14:textFill>
        </w:rPr>
      </w:pPr>
      <w:bookmarkStart w:id="838" w:name="_Toc526"/>
      <w:bookmarkStart w:id="839" w:name="_Toc21036"/>
      <w:bookmarkStart w:id="840" w:name="_Toc29471"/>
      <w:bookmarkStart w:id="841" w:name="_Toc29929"/>
      <w:bookmarkStart w:id="842" w:name="_Toc10696"/>
      <w:bookmarkStart w:id="843" w:name="_Toc7765"/>
      <w:bookmarkStart w:id="844" w:name="_Toc18194"/>
      <w:r>
        <w:rPr>
          <w:rFonts w:hint="eastAsia" w:ascii="宋体" w:hAnsi="宋体" w:eastAsia="宋体" w:cs="Times New Roman"/>
          <w:b w:val="0"/>
          <w:kern w:val="2"/>
          <w:sz w:val="32"/>
          <w:szCs w:val="32"/>
          <w:lang w:val="en-US" w:eastAsia="zh-CN" w:bidi="ar-SA"/>
        </w:rPr>
        <w:t>福建生源类推界定。</w:t>
      </w:r>
      <w:bookmarkEnd w:id="838"/>
      <w:bookmarkEnd w:id="839"/>
      <w:bookmarkEnd w:id="840"/>
      <w:bookmarkEnd w:id="841"/>
      <w:bookmarkEnd w:id="842"/>
      <w:bookmarkEnd w:id="843"/>
      <w:bookmarkEnd w:id="844"/>
      <w:bookmarkStart w:id="845" w:name="_Toc14101"/>
      <w:bookmarkStart w:id="846" w:name="_（七）港澳台人员"/>
      <w:bookmarkStart w:id="847" w:name="_（六）港澳台人员"/>
    </w:p>
    <w:p>
      <w:pPr>
        <w:pStyle w:val="2"/>
        <w:ind w:firstLine="643" w:firstLineChars="200"/>
        <w:rPr>
          <w:rFonts w:hint="eastAsia" w:ascii="楷体" w:hAnsi="楷体" w:eastAsia="楷体" w:cs="楷体"/>
          <w:sz w:val="32"/>
          <w:szCs w:val="32"/>
          <w:lang w:val="en-US" w:eastAsia="zh-CN"/>
        </w:rPr>
      </w:pPr>
      <w:bookmarkStart w:id="848" w:name="_Toc7555"/>
      <w:bookmarkStart w:id="849" w:name="_Toc7634"/>
      <w:bookmarkStart w:id="850" w:name="_Toc14610"/>
      <w:bookmarkStart w:id="851" w:name="_Toc6965"/>
      <w:bookmarkStart w:id="852" w:name="_Toc9952"/>
      <w:bookmarkStart w:id="853" w:name="_Toc31165"/>
      <w:bookmarkStart w:id="854" w:name="_Toc7808"/>
      <w:bookmarkStart w:id="855" w:name="_Toc11215"/>
      <w:r>
        <w:rPr>
          <w:rFonts w:hint="eastAsia" w:ascii="楷体" w:hAnsi="楷体" w:eastAsia="楷体" w:cs="楷体"/>
          <w:color w:val="auto"/>
          <w:sz w:val="32"/>
          <w:szCs w:val="32"/>
          <w:u w:val="none"/>
          <w:lang w:val="en-US" w:eastAsia="zh-CN"/>
        </w:rPr>
        <w:t>（七）港澳台人员</w:t>
      </w:r>
      <w:bookmarkEnd w:id="781"/>
      <w:bookmarkEnd w:id="782"/>
      <w:bookmarkEnd w:id="811"/>
      <w:bookmarkEnd w:id="812"/>
      <w:bookmarkEnd w:id="813"/>
      <w:bookmarkEnd w:id="814"/>
      <w:bookmarkEnd w:id="815"/>
      <w:bookmarkEnd w:id="816"/>
      <w:bookmarkEnd w:id="845"/>
      <w:bookmarkEnd w:id="848"/>
      <w:bookmarkEnd w:id="849"/>
      <w:bookmarkEnd w:id="850"/>
      <w:bookmarkEnd w:id="851"/>
      <w:bookmarkEnd w:id="852"/>
      <w:bookmarkEnd w:id="853"/>
      <w:bookmarkEnd w:id="854"/>
      <w:bookmarkEnd w:id="855"/>
    </w:p>
    <w:bookmarkEnd w:id="846"/>
    <w:bookmarkEnd w:id="847"/>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港澳台人员（不得持有外国籍）的招聘，按照国家、福建省和厦门市有关规定办理。</w:t>
      </w:r>
      <w:bookmarkStart w:id="856" w:name="_Toc29358"/>
      <w:bookmarkStart w:id="857" w:name="_Toc1416"/>
    </w:p>
    <w:p>
      <w:pPr>
        <w:pStyle w:val="2"/>
        <w:ind w:firstLine="643" w:firstLineChars="200"/>
        <w:rPr>
          <w:rFonts w:hint="eastAsia" w:ascii="楷体" w:hAnsi="楷体" w:eastAsia="楷体" w:cs="楷体"/>
          <w:sz w:val="32"/>
          <w:szCs w:val="32"/>
          <w:lang w:val="en-US" w:eastAsia="zh-CN"/>
        </w:rPr>
      </w:pPr>
      <w:bookmarkStart w:id="858" w:name="_Toc23831"/>
      <w:bookmarkStart w:id="859" w:name="_Toc924"/>
      <w:bookmarkStart w:id="860" w:name="_Toc20812"/>
      <w:bookmarkStart w:id="861" w:name="_Toc15131"/>
      <w:bookmarkStart w:id="862" w:name="_Toc11881"/>
      <w:bookmarkStart w:id="863" w:name="_Toc5000"/>
      <w:bookmarkStart w:id="864" w:name="_Toc11850"/>
      <w:bookmarkStart w:id="865" w:name="_Toc27240"/>
      <w:r>
        <w:rPr>
          <w:rFonts w:hint="eastAsia" w:ascii="楷体" w:hAnsi="楷体" w:eastAsia="楷体" w:cs="楷体"/>
          <w:sz w:val="32"/>
          <w:szCs w:val="32"/>
          <w:lang w:val="en-US" w:eastAsia="zh-CN"/>
        </w:rPr>
        <w:t>（八）技工院校毕业生</w:t>
      </w:r>
      <w:bookmarkEnd w:id="856"/>
      <w:bookmarkEnd w:id="857"/>
      <w:bookmarkEnd w:id="858"/>
      <w:bookmarkEnd w:id="859"/>
      <w:bookmarkEnd w:id="860"/>
      <w:bookmarkEnd w:id="861"/>
      <w:bookmarkEnd w:id="862"/>
      <w:bookmarkEnd w:id="863"/>
      <w:bookmarkEnd w:id="864"/>
      <w:bookmarkEnd w:id="865"/>
    </w:p>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技工院校全日制高级工班、预备技师（技师）班毕业，且毕业时已取得相应高级工、预备技师（技师）职业技能等级证书的，经招聘单位及主管部门同意，可分别视同大专、本科学历，报考我市市、区属事业单位招聘岗位。</w:t>
      </w:r>
    </w:p>
    <w:p>
      <w:pPr>
        <w:pStyle w:val="2"/>
        <w:ind w:firstLine="643" w:firstLineChars="200"/>
        <w:rPr>
          <w:rFonts w:hint="eastAsia" w:ascii="黑体" w:hAnsi="黑体" w:eastAsia="黑体" w:cs="黑体"/>
          <w:sz w:val="32"/>
          <w:szCs w:val="32"/>
          <w:lang w:val="en-US" w:eastAsia="zh-CN"/>
        </w:rPr>
      </w:pPr>
      <w:bookmarkStart w:id="866" w:name="_Toc2460"/>
      <w:bookmarkStart w:id="867" w:name="_Toc4655"/>
      <w:bookmarkStart w:id="868" w:name="_Toc14340"/>
      <w:bookmarkStart w:id="869" w:name="_Toc17258"/>
      <w:bookmarkStart w:id="870" w:name="_Toc11443"/>
      <w:bookmarkStart w:id="871" w:name="_Toc29924"/>
      <w:bookmarkStart w:id="872" w:name="_Toc2095"/>
      <w:bookmarkStart w:id="873" w:name="_Toc14706"/>
      <w:bookmarkStart w:id="874" w:name="_Toc31670"/>
      <w:bookmarkStart w:id="875" w:name="_Toc16887"/>
      <w:bookmarkStart w:id="876" w:name="_Toc19371"/>
      <w:bookmarkStart w:id="877" w:name="_Toc16817"/>
      <w:bookmarkStart w:id="878" w:name="_Toc22699"/>
      <w:bookmarkStart w:id="879" w:name="_Toc25514"/>
      <w:bookmarkStart w:id="880" w:name="_Toc12083"/>
      <w:bookmarkStart w:id="881" w:name="_Toc24590"/>
      <w:bookmarkStart w:id="882" w:name="_Toc29572"/>
      <w:bookmarkStart w:id="883" w:name="_Toc17496"/>
      <w:bookmarkStart w:id="884" w:name="_Toc18355"/>
      <w:r>
        <w:rPr>
          <w:rFonts w:hint="eastAsia" w:ascii="黑体" w:hAnsi="黑体" w:eastAsia="黑体" w:cs="黑体"/>
          <w:sz w:val="32"/>
          <w:szCs w:val="32"/>
          <w:lang w:val="en-US" w:eastAsia="zh-CN"/>
        </w:rPr>
        <w:t>十四、新冠肺炎疫情防控要求</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p>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疫情防控要求贯穿本次招聘全程，将严格按照厦门市应对新冠肺炎疫情工作指挥部最新部署，严密落实防控措施，必要时如须对有关考试安排进行适当调整，将及时在招考系统中公告。考生务必遵照疫情防控要求，自觉承担防疫责任，及时关注考前须知，配合做好安全承诺，确保顺利应考。本简章发布之日起至招聘结束，如境内新增中高风险地区，从境内中高风险地区、境外地区来厦的，按我市疫情防控规定执行。</w:t>
      </w:r>
    </w:p>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必要时或有疑问，请拨打咨询专线0592-3279055获知相关政策信息。凡隐瞒或谎报旅居史、接触史、健康状况等疫情防控重点信息，不配合工作人员进行防疫检测、询问、排查等造成严重后果的，取消其考试（聘用）资格，如有违法行为，将依法追究其法律责任。</w:t>
      </w: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宋体" w:hAnsi="宋体" w:eastAsia="宋体" w:cs="Times New Roman"/>
          <w:b w:val="0"/>
          <w:kern w:val="2"/>
          <w:sz w:val="32"/>
          <w:szCs w:val="32"/>
          <w:lang w:val="en-US" w:eastAsia="zh-CN" w:bidi="ar-SA"/>
        </w:rPr>
      </w:pPr>
      <w:r>
        <w:rPr>
          <w:rFonts w:hint="eastAsia" w:ascii="宋体" w:hAnsi="宋体" w:eastAsia="宋体" w:cs="Times New Roman"/>
          <w:b w:val="0"/>
          <w:kern w:val="2"/>
          <w:sz w:val="32"/>
          <w:szCs w:val="32"/>
          <w:lang w:val="en-US" w:eastAsia="zh-CN" w:bidi="ar-SA"/>
        </w:rPr>
        <w:t>附件：《2022届高校毕业生报考承诺书》</w:t>
      </w:r>
    </w:p>
    <w:p>
      <w:pPr>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ind w:firstLine="640" w:firstLineChars="200"/>
        <w:rPr>
          <w:rFonts w:hint="eastAsia" w:ascii="??_GB2312" w:eastAsia="Times New Roman"/>
          <w:color w:val="000000" w:themeColor="text1"/>
          <w:sz w:val="32"/>
          <w:szCs w:val="32"/>
          <w:highlight w:val="none"/>
          <w14:textFill>
            <w14:solidFill>
              <w14:schemeClr w14:val="tx1"/>
            </w14:solidFill>
          </w14:textFill>
        </w:rPr>
      </w:pPr>
    </w:p>
    <w:p>
      <w:pPr>
        <w:rPr>
          <w:rFonts w:hint="eastAsia" w:ascii="??_GB2312" w:eastAsia="Times New Roman"/>
          <w:color w:val="000000" w:themeColor="text1"/>
          <w:sz w:val="32"/>
          <w:szCs w:val="32"/>
          <w:highlight w:val="none"/>
          <w14:textFill>
            <w14:solidFill>
              <w14:schemeClr w14:val="tx1"/>
            </w14:solidFill>
          </w14:textFill>
        </w:rPr>
      </w:pPr>
    </w:p>
    <w:p>
      <w:pPr>
        <w:spacing w:line="540" w:lineRule="exact"/>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附件</w:t>
      </w:r>
    </w:p>
    <w:p>
      <w:pPr>
        <w:spacing w:line="540" w:lineRule="exact"/>
        <w:jc w:val="center"/>
        <w:outlineLvl w:val="0"/>
        <w:rPr>
          <w:rFonts w:hint="eastAsia" w:ascii="仿宋" w:hAnsi="仿宋" w:eastAsia="仿宋" w:cs="仿宋"/>
          <w:color w:val="000000" w:themeColor="text1"/>
          <w:sz w:val="32"/>
          <w:szCs w:val="32"/>
          <w:highlight w:val="none"/>
          <w:u w:val="single"/>
          <w14:textFill>
            <w14:solidFill>
              <w14:schemeClr w14:val="tx1"/>
            </w14:solidFill>
          </w14:textFill>
        </w:rPr>
      </w:pPr>
      <w:bookmarkStart w:id="885" w:name="_Toc12086"/>
      <w:bookmarkStart w:id="886" w:name="_Toc30362"/>
      <w:bookmarkStart w:id="887" w:name="_Toc12288"/>
      <w:bookmarkStart w:id="888" w:name="_Toc6288"/>
      <w:bookmarkStart w:id="889" w:name="_Toc4723"/>
      <w:bookmarkStart w:id="890" w:name="_Toc31148"/>
      <w:bookmarkStart w:id="891" w:name="_Toc9921"/>
      <w:bookmarkStart w:id="892" w:name="_Toc7880"/>
      <w:bookmarkStart w:id="893" w:name="_Toc2666"/>
      <w:bookmarkStart w:id="894" w:name="_Toc20521"/>
      <w:bookmarkStart w:id="895" w:name="_Toc30483"/>
      <w:bookmarkStart w:id="896" w:name="_Toc27975"/>
      <w:bookmarkStart w:id="897" w:name="_Toc20898"/>
      <w:r>
        <w:rPr>
          <w:rFonts w:hint="eastAsia" w:ascii="方正小标宋简体" w:hAnsi="华文中宋" w:eastAsia="方正小标宋简体" w:cs="方正小标宋简体"/>
          <w:color w:val="000000" w:themeColor="text1"/>
          <w:sz w:val="44"/>
          <w:szCs w:val="44"/>
          <w:highlight w:val="none"/>
          <w14:textFill>
            <w14:solidFill>
              <w14:schemeClr w14:val="tx1"/>
            </w14:solidFill>
          </w14:textFill>
        </w:rPr>
        <w:t>202</w:t>
      </w:r>
      <w:r>
        <w:rPr>
          <w:rFonts w:hint="eastAsia" w:ascii="方正小标宋简体" w:hAnsi="华文中宋" w:eastAsia="方正小标宋简体" w:cs="方正小标宋简体"/>
          <w:color w:val="000000" w:themeColor="text1"/>
          <w:sz w:val="44"/>
          <w:szCs w:val="44"/>
          <w:highlight w:val="none"/>
          <w:lang w:val="en-US" w:eastAsia="zh-CN"/>
          <w14:textFill>
            <w14:solidFill>
              <w14:schemeClr w14:val="tx1"/>
            </w14:solidFill>
          </w14:textFill>
        </w:rPr>
        <w:t>2</w:t>
      </w:r>
      <w:r>
        <w:rPr>
          <w:rFonts w:hint="eastAsia" w:ascii="方正小标宋简体" w:hAnsi="华文中宋" w:eastAsia="方正小标宋简体" w:cs="方正小标宋简体"/>
          <w:color w:val="000000" w:themeColor="text1"/>
          <w:sz w:val="44"/>
          <w:szCs w:val="44"/>
          <w:highlight w:val="none"/>
          <w14:textFill>
            <w14:solidFill>
              <w14:schemeClr w14:val="tx1"/>
            </w14:solidFill>
          </w14:textFill>
        </w:rPr>
        <w:t>届高校毕业生报考承诺书</w:t>
      </w:r>
      <w:bookmarkEnd w:id="885"/>
      <w:bookmarkEnd w:id="886"/>
      <w:bookmarkEnd w:id="887"/>
      <w:bookmarkEnd w:id="888"/>
      <w:bookmarkEnd w:id="889"/>
      <w:bookmarkEnd w:id="890"/>
      <w:bookmarkEnd w:id="891"/>
      <w:bookmarkEnd w:id="892"/>
      <w:bookmarkEnd w:id="893"/>
      <w:bookmarkEnd w:id="894"/>
      <w:bookmarkEnd w:id="895"/>
      <w:bookmarkEnd w:id="896"/>
      <w:bookmarkEnd w:id="897"/>
    </w:p>
    <w:p>
      <w:pPr>
        <w:keepNext w:val="0"/>
        <w:keepLines w:val="0"/>
        <w:pageBreakBefore w:val="0"/>
        <w:widowControl w:val="0"/>
        <w:kinsoku/>
        <w:wordWrap/>
        <w:overflowPunct/>
        <w:topLinePunct w:val="0"/>
        <w:autoSpaceDE/>
        <w:autoSpaceDN/>
        <w:bidi w:val="0"/>
        <w:adjustRightInd/>
        <w:snapToGrid/>
        <w:spacing w:line="580" w:lineRule="exact"/>
        <w:ind w:firstLine="15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（报考单位名称）：</w:t>
      </w:r>
    </w:p>
    <w:p>
      <w:pPr>
        <w:spacing w:line="54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本人系全日制普通教育/境外教育202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届高校毕业生未取得学历（位）证书，现持学校签章的毕业生身份证明材料报考贵单位。</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outlineLvl w:val="0"/>
        <w:rPr>
          <w:rFonts w:hint="eastAsia" w:ascii="仿宋" w:hAnsi="仿宋" w:eastAsia="仿宋" w:cs="仿宋"/>
          <w:color w:val="000000" w:themeColor="text1"/>
          <w:sz w:val="32"/>
          <w:szCs w:val="32"/>
          <w:highlight w:val="none"/>
          <w14:textFill>
            <w14:solidFill>
              <w14:schemeClr w14:val="tx1"/>
            </w14:solidFill>
          </w14:textFill>
        </w:rPr>
      </w:pPr>
      <w:bookmarkStart w:id="898" w:name="_Toc361"/>
      <w:bookmarkStart w:id="899" w:name="_Toc420"/>
      <w:bookmarkStart w:id="900" w:name="_Toc24860"/>
      <w:bookmarkStart w:id="901" w:name="_Toc28958"/>
      <w:bookmarkStart w:id="902" w:name="_Toc17738"/>
      <w:bookmarkStart w:id="903" w:name="_Toc14303"/>
      <w:bookmarkStart w:id="904" w:name="_Toc2669"/>
      <w:bookmarkStart w:id="905" w:name="_Toc2931"/>
      <w:bookmarkStart w:id="906" w:name="_Toc23624"/>
      <w:bookmarkStart w:id="907" w:name="_Toc4704"/>
      <w:bookmarkStart w:id="908" w:name="_Toc17553"/>
      <w:bookmarkStart w:id="909" w:name="_Toc12500"/>
      <w:bookmarkStart w:id="910" w:name="_Toc32511"/>
      <w:r>
        <w:rPr>
          <w:rFonts w:hint="eastAsia" w:ascii="仿宋" w:hAnsi="仿宋" w:eastAsia="仿宋" w:cs="仿宋"/>
          <w:color w:val="000000" w:themeColor="text1"/>
          <w:sz w:val="32"/>
          <w:szCs w:val="32"/>
          <w:highlight w:val="none"/>
          <w14:textFill>
            <w14:solidFill>
              <w14:schemeClr w14:val="tx1"/>
            </w14:solidFill>
          </w14:textFill>
        </w:rPr>
        <w:t>一、个人身份信息：姓名</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性别</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身份证号</w:t>
      </w:r>
      <w:r>
        <w:rPr>
          <w:rFonts w:hint="eastAsia" w:ascii="仿宋" w:hAnsi="仿宋" w:eastAsia="仿宋" w:cs="仿宋"/>
          <w:color w:val="000000" w:themeColor="text1"/>
          <w:sz w:val="32"/>
          <w:szCs w:val="32"/>
          <w:highlight w:val="none"/>
          <w:u w:val="single"/>
          <w14:textFill>
            <w14:solidFill>
              <w14:schemeClr w14:val="tx1"/>
            </w14:solidFill>
          </w14:textFill>
        </w:rPr>
        <w:t>        </w:t>
      </w:r>
      <w:bookmarkEnd w:id="898"/>
      <w:bookmarkEnd w:id="899"/>
      <w:bookmarkEnd w:id="900"/>
      <w:bookmarkEnd w:id="901"/>
      <w:bookmarkEnd w:id="902"/>
      <w:bookmarkEnd w:id="903"/>
      <w:bookmarkEnd w:id="904"/>
      <w:bookmarkEnd w:id="905"/>
      <w:bookmarkEnd w:id="906"/>
      <w:bookmarkEnd w:id="907"/>
      <w:bookmarkEnd w:id="908"/>
      <w:bookmarkEnd w:id="909"/>
      <w:bookmarkEnd w:id="910"/>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就读院校及专业</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，专业方向</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outlineLvl w:val="0"/>
        <w:rPr>
          <w:rFonts w:hint="eastAsia" w:ascii="仿宋" w:hAnsi="仿宋" w:eastAsia="仿宋" w:cs="仿宋"/>
          <w:color w:val="000000" w:themeColor="text1"/>
          <w:sz w:val="32"/>
          <w:szCs w:val="32"/>
          <w:highlight w:val="none"/>
          <w14:textFill>
            <w14:solidFill>
              <w14:schemeClr w14:val="tx1"/>
            </w14:solidFill>
          </w14:textFill>
        </w:rPr>
      </w:pPr>
      <w:bookmarkStart w:id="911" w:name="_Toc23039"/>
      <w:bookmarkStart w:id="912" w:name="_Toc15360"/>
      <w:bookmarkStart w:id="913" w:name="_Toc14479"/>
      <w:bookmarkStart w:id="914" w:name="_Toc4129"/>
      <w:bookmarkStart w:id="915" w:name="_Toc29005"/>
      <w:bookmarkStart w:id="916" w:name="_Toc28564"/>
      <w:bookmarkStart w:id="917" w:name="_Toc13976"/>
      <w:bookmarkStart w:id="918" w:name="_Toc9353"/>
      <w:bookmarkStart w:id="919" w:name="_Toc2893"/>
      <w:bookmarkStart w:id="920" w:name="_Toc2818"/>
      <w:bookmarkStart w:id="921" w:name="_Toc18801"/>
      <w:bookmarkStart w:id="922" w:name="_Toc1157"/>
      <w:bookmarkStart w:id="923" w:name="_Toc4163"/>
      <w:r>
        <w:rPr>
          <w:rFonts w:hint="eastAsia" w:ascii="仿宋" w:hAnsi="仿宋" w:eastAsia="仿宋" w:cs="仿宋"/>
          <w:color w:val="000000" w:themeColor="text1"/>
          <w:sz w:val="32"/>
          <w:szCs w:val="32"/>
          <w:highlight w:val="none"/>
          <w14:textFill>
            <w14:solidFill>
              <w14:schemeClr w14:val="tx1"/>
            </w14:solidFill>
          </w14:textFill>
        </w:rPr>
        <w:t>二、报考岗位代码：</w:t>
      </w:r>
      <w:r>
        <w:rPr>
          <w:rFonts w:hint="eastAsia" w:ascii="仿宋" w:hAnsi="仿宋" w:eastAsia="仿宋" w:cs="仿宋"/>
          <w:color w:val="000000" w:themeColor="text1"/>
          <w:sz w:val="32"/>
          <w:szCs w:val="32"/>
          <w:highlight w:val="none"/>
          <w:u w:val="single"/>
          <w14:textFill>
            <w14:solidFill>
              <w14:schemeClr w14:val="tx1"/>
            </w14:solidFill>
          </w14:textFill>
        </w:rPr>
        <w:t xml:space="preserve">                </w:t>
      </w:r>
      <w:r>
        <w:rPr>
          <w:rFonts w:hint="eastAsia" w:ascii="仿宋" w:hAnsi="仿宋" w:eastAsia="仿宋" w:cs="仿宋"/>
          <w:color w:val="000000" w:themeColor="text1"/>
          <w:sz w:val="32"/>
          <w:szCs w:val="32"/>
          <w:highlight w:val="none"/>
          <w14:textFill>
            <w14:solidFill>
              <w14:schemeClr w14:val="tx1"/>
            </w14:solidFill>
          </w14:textFill>
        </w:rPr>
        <w:t>。</w:t>
      </w:r>
      <w:bookmarkEnd w:id="911"/>
      <w:bookmarkEnd w:id="912"/>
      <w:bookmarkEnd w:id="913"/>
      <w:bookmarkEnd w:id="914"/>
      <w:bookmarkEnd w:id="915"/>
      <w:bookmarkEnd w:id="916"/>
      <w:bookmarkEnd w:id="917"/>
      <w:bookmarkEnd w:id="918"/>
      <w:bookmarkEnd w:id="919"/>
      <w:bookmarkEnd w:id="920"/>
      <w:bookmarkEnd w:id="921"/>
      <w:bookmarkEnd w:id="922"/>
      <w:bookmarkEnd w:id="923"/>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outlineLvl w:val="0"/>
        <w:rPr>
          <w:rFonts w:hint="eastAsia" w:ascii="仿宋" w:hAnsi="仿宋" w:eastAsia="仿宋" w:cs="仿宋"/>
          <w:color w:val="000000" w:themeColor="text1"/>
          <w:sz w:val="32"/>
          <w:szCs w:val="32"/>
          <w:highlight w:val="none"/>
          <w14:textFill>
            <w14:solidFill>
              <w14:schemeClr w14:val="tx1"/>
            </w14:solidFill>
          </w14:textFill>
        </w:rPr>
      </w:pPr>
      <w:bookmarkStart w:id="924" w:name="_Toc18849"/>
      <w:bookmarkStart w:id="925" w:name="_Toc8782"/>
      <w:bookmarkStart w:id="926" w:name="_Toc1845"/>
      <w:bookmarkStart w:id="927" w:name="_Toc19636"/>
      <w:bookmarkStart w:id="928" w:name="_Toc21519"/>
      <w:bookmarkStart w:id="929" w:name="_Toc1366"/>
      <w:bookmarkStart w:id="930" w:name="_Toc22605"/>
      <w:bookmarkStart w:id="931" w:name="_Toc2837"/>
      <w:bookmarkStart w:id="932" w:name="_Toc26672"/>
      <w:bookmarkStart w:id="933" w:name="_Toc19926"/>
      <w:bookmarkStart w:id="934" w:name="_Toc20206"/>
      <w:bookmarkStart w:id="935" w:name="_Toc1757"/>
      <w:bookmarkStart w:id="936" w:name="_Toc28130"/>
      <w:r>
        <w:rPr>
          <w:rFonts w:hint="eastAsia" w:ascii="仿宋" w:hAnsi="仿宋" w:eastAsia="仿宋" w:cs="仿宋"/>
          <w:color w:val="000000" w:themeColor="text1"/>
          <w:sz w:val="32"/>
          <w:szCs w:val="32"/>
          <w:highlight w:val="none"/>
          <w14:textFill>
            <w14:solidFill>
              <w14:schemeClr w14:val="tx1"/>
            </w14:solidFill>
          </w14:textFill>
        </w:rPr>
        <w:t>三、承诺内容：</w:t>
      </w:r>
      <w:bookmarkEnd w:id="924"/>
      <w:bookmarkEnd w:id="925"/>
      <w:bookmarkEnd w:id="926"/>
      <w:bookmarkEnd w:id="927"/>
      <w:bookmarkEnd w:id="928"/>
      <w:bookmarkEnd w:id="929"/>
      <w:bookmarkEnd w:id="930"/>
      <w:bookmarkEnd w:id="931"/>
      <w:bookmarkEnd w:id="932"/>
      <w:bookmarkEnd w:id="933"/>
      <w:bookmarkEnd w:id="934"/>
      <w:bookmarkEnd w:id="935"/>
      <w:bookmarkEnd w:id="936"/>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本人系：</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 1.全日制普通教育202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届本科学历毕业生，承诺于202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 xml:space="preserve">年9月30日前取得并提供学历（位）证书；       </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 2.全日制普通教育202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届研究生学历毕业生，承诺于202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年12月31日前取得并提供学历（位）证书。</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 3.境外教育202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届毕业生，承诺于202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年12月31日前取得并提供学历（位）证书。</w:t>
      </w:r>
    </w:p>
    <w:p>
      <w:pPr>
        <w:keepNext w:val="0"/>
        <w:keepLines w:val="0"/>
        <w:pageBreakBefore w:val="0"/>
        <w:widowControl w:val="0"/>
        <w:kinsoku/>
        <w:wordWrap/>
        <w:overflowPunct/>
        <w:topLinePunct w:val="0"/>
        <w:autoSpaceDE/>
        <w:autoSpaceDN/>
        <w:bidi w:val="0"/>
        <w:adjustRightInd/>
        <w:snapToGrid/>
        <w:spacing w:line="580" w:lineRule="exact"/>
        <w:ind w:firstLine="63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如未能在上述承诺期限内，提交学历（位）证书或学历（位）证书注明的专业与岗位要求的专业不符而引发不予办理聘用手续等情形，本人自愿放弃本次考试聘用资格。</w:t>
      </w:r>
    </w:p>
    <w:p>
      <w:pPr>
        <w:keepNext w:val="0"/>
        <w:keepLines w:val="0"/>
        <w:pageBreakBefore w:val="0"/>
        <w:widowControl w:val="0"/>
        <w:kinsoku/>
        <w:wordWrap/>
        <w:overflowPunct/>
        <w:topLinePunct w:val="0"/>
        <w:autoSpaceDE/>
        <w:autoSpaceDN/>
        <w:bidi w:val="0"/>
        <w:adjustRightInd/>
        <w:snapToGrid/>
        <w:spacing w:line="580" w:lineRule="exact"/>
        <w:ind w:firstLine="4800" w:firstLineChars="1500"/>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承诺人（签名）：</w:t>
      </w:r>
    </w:p>
    <w:p>
      <w:pPr>
        <w:keepNext w:val="0"/>
        <w:keepLines w:val="0"/>
        <w:pageBreakBefore w:val="0"/>
        <w:widowControl w:val="0"/>
        <w:kinsoku/>
        <w:wordWrap/>
        <w:overflowPunct/>
        <w:topLinePunct w:val="0"/>
        <w:autoSpaceDE/>
        <w:autoSpaceDN/>
        <w:bidi w:val="0"/>
        <w:adjustRightInd/>
        <w:snapToGrid/>
        <w:spacing w:line="580" w:lineRule="exact"/>
        <w:ind w:firstLine="4800" w:firstLineChars="1500"/>
        <w:textAlignment w:val="auto"/>
        <w:rPr>
          <w:rFonts w:hint="eastAsia" w:ascii="仿宋" w:hAnsi="仿宋" w:eastAsia="仿宋" w:cs="Arial"/>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202</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年   月   日</w:t>
      </w:r>
    </w:p>
    <w:sectPr>
      <w:footerReference r:id="rId4" w:type="default"/>
      <w:pgSz w:w="11906" w:h="16838"/>
      <w:pgMar w:top="1440" w:right="1800" w:bottom="1440" w:left="1800" w:header="851" w:footer="992" w:gutter="0"/>
      <w:pgNumType w:fmt="decimal"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0574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05740" cy="139700"/>
                      </a:xfrm>
                      <a:prstGeom prst="rect">
                        <a:avLst/>
                      </a:prstGeom>
                      <a:noFill/>
                      <a:ln>
                        <a:noFill/>
                      </a:ln>
                    </wps:spPr>
                    <wps:txbx>
                      <w:txbxContent>
                        <w:p>
                          <w:pPr>
                            <w:pStyle w:val="7"/>
                          </w:pPr>
                          <w:r>
                            <w:fldChar w:fldCharType="begin"/>
                          </w:r>
                          <w:r>
                            <w:instrText xml:space="preserve"> PAGE  \* MERGEFORMAT </w:instrText>
                          </w:r>
                          <w:r>
                            <w:fldChar w:fldCharType="separate"/>
                          </w:r>
                          <w:r>
                            <w:t>18</w:t>
                          </w:r>
                          <w:r>
                            <w:fldChar w:fldCharType="end"/>
                          </w:r>
                        </w:p>
                      </w:txbxContent>
                    </wps:txbx>
                    <wps:bodyPr lIns="0" tIns="0" rIns="0" bIns="0" upright="1">
                      <a:spAutoFit/>
                    </wps:bodyPr>
                  </wps:wsp>
                </a:graphicData>
              </a:graphic>
            </wp:anchor>
          </w:drawing>
        </mc:Choice>
        <mc:Fallback>
          <w:pict>
            <v:shape id="_x0000_s1026" o:spid="_x0000_s1026" o:spt="202" type="#_x0000_t202" style="position:absolute;left:0pt;margin-top:0pt;height:11pt;width:16.2pt;mso-position-horizontal:center;mso-position-horizontal-relative:margin;z-index:251659264;mso-width-relative:page;mso-height-relative:page;" filled="f" stroked="f" coordsize="21600,21600" o:gfxdata="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sQ/+QtIAAAADAQAADwAAAAAAAAABACAAAAAiAAAAZHJzL2Rvd25yZXYueG1s&#10;UEsBAhQAFAAAAAgAh07iQBtpE4fFAQAAiwMAAA4AAAAAAAAAAQAgAAAAIQEAAGRycy9lMm9Eb2Mu&#10;eG1sUEsFBgAAAAAGAAYAWQEAAFg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0574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05740" cy="139700"/>
                      </a:xfrm>
                      <a:prstGeom prst="rect">
                        <a:avLst/>
                      </a:prstGeom>
                      <a:noFill/>
                      <a:ln>
                        <a:noFill/>
                      </a:ln>
                    </wps:spPr>
                    <wps:txbx>
                      <w:txbxContent>
                        <w:p>
                          <w:pPr>
                            <w:pStyle w:val="7"/>
                          </w:pPr>
                          <w:r>
                            <w:fldChar w:fldCharType="begin"/>
                          </w:r>
                          <w:r>
                            <w:instrText xml:space="preserve"> PAGE  \* MERGEFORMAT </w:instrText>
                          </w:r>
                          <w:r>
                            <w:fldChar w:fldCharType="separate"/>
                          </w:r>
                          <w:r>
                            <w:t>1</w:t>
                          </w:r>
                          <w:r>
                            <w:fldChar w:fldCharType="end"/>
                          </w:r>
                        </w:p>
                      </w:txbxContent>
                    </wps:txbx>
                    <wps:bodyPr lIns="0" tIns="0" rIns="0" bIns="0" upright="1">
                      <a:spAutoFit/>
                    </wps:bodyPr>
                  </wps:wsp>
                </a:graphicData>
              </a:graphic>
            </wp:anchor>
          </w:drawing>
        </mc:Choice>
        <mc:Fallback>
          <w:pict>
            <v:shape id="_x0000_s1026" o:spid="_x0000_s1026" o:spt="202" type="#_x0000_t202" style="position:absolute;left:0pt;margin-top:0pt;height:11pt;width:16.2pt;mso-position-horizontal:center;mso-position-horizontal-relative:margin;z-index:251659264;mso-width-relative:page;mso-height-relative:page;" filled="f" stroked="f" coordsize="21600,21600" o:gfxdata="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EP/kLSAAAAAwEAAA8AAAAAAAAAAQAgAAAAIgAAAGRycy9kb3ducmV2Lnht&#10;bFBLAQIUABQAAAAIAIdO4kDG5jFExgEAAIsDAAAOAAAAAAAAAAEAIAAAACEBAABkcnMvZTJvRG9j&#10;LnhtbFBLBQYAAAAABgAGAFkBAABZ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yODk0NDgwNDc4ZDE1NzkyNGJlNWUzZTljNzc3YTcifQ=="/>
  </w:docVars>
  <w:rsids>
    <w:rsidRoot w:val="00000000"/>
    <w:rsid w:val="0EA476B8"/>
    <w:rsid w:val="2C816398"/>
    <w:rsid w:val="3A156E3E"/>
    <w:rsid w:val="52A5239D"/>
    <w:rsid w:val="7D9A48BF"/>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ocked="1"/>
    <w:lsdException w:qFormat="1" w:unhideWhenUsed="0" w:uiPriority="99" w:semiHidden="0" w:name="toc 2" w:locked="1"/>
    <w:lsdException w:qFormat="1"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locked/>
    <w:uiPriority w:val="99"/>
    <w:pPr>
      <w:keepNext/>
      <w:keepLines/>
      <w:spacing w:line="576" w:lineRule="auto"/>
      <w:outlineLvl w:val="0"/>
    </w:pPr>
    <w:rPr>
      <w:b/>
      <w:kern w:val="44"/>
      <w:sz w:val="44"/>
    </w:rPr>
  </w:style>
  <w:style w:type="paragraph" w:styleId="3">
    <w:name w:val="heading 2"/>
    <w:basedOn w:val="1"/>
    <w:next w:val="1"/>
    <w:unhideWhenUsed/>
    <w:qFormat/>
    <w:locked/>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3">
    <w:name w:val="Default Paragraph Font"/>
    <w:semiHidden/>
    <w:qFormat/>
    <w:uiPriority w:val="99"/>
  </w:style>
  <w:style w:type="table" w:default="1" w:styleId="12">
    <w:name w:val="Normal Table"/>
    <w:unhideWhenUsed/>
    <w:qFormat/>
    <w:uiPriority w:val="99"/>
    <w:tblPr>
      <w:tblCellMar>
        <w:top w:w="0" w:type="dxa"/>
        <w:left w:w="108" w:type="dxa"/>
        <w:bottom w:w="0" w:type="dxa"/>
        <w:right w:w="108" w:type="dxa"/>
      </w:tblCellMar>
    </w:tblPr>
  </w:style>
  <w:style w:type="paragraph" w:styleId="4">
    <w:name w:val="annotation text"/>
    <w:basedOn w:val="1"/>
    <w:link w:val="17"/>
    <w:semiHidden/>
    <w:qFormat/>
    <w:uiPriority w:val="99"/>
    <w:pPr>
      <w:jc w:val="left"/>
    </w:pPr>
  </w:style>
  <w:style w:type="paragraph" w:styleId="5">
    <w:name w:val="toc 3"/>
    <w:basedOn w:val="1"/>
    <w:next w:val="1"/>
    <w:qFormat/>
    <w:locked/>
    <w:uiPriority w:val="0"/>
    <w:pPr>
      <w:ind w:left="840" w:leftChars="400"/>
    </w:pPr>
  </w:style>
  <w:style w:type="paragraph" w:styleId="6">
    <w:name w:val="Balloon Text"/>
    <w:basedOn w:val="1"/>
    <w:link w:val="18"/>
    <w:semiHidden/>
    <w:qFormat/>
    <w:uiPriority w:val="99"/>
    <w:rPr>
      <w:sz w:val="18"/>
      <w:szCs w:val="18"/>
    </w:r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20"/>
    <w:semiHidden/>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locked/>
    <w:uiPriority w:val="99"/>
  </w:style>
  <w:style w:type="paragraph" w:styleId="10">
    <w:name w:val="toc 2"/>
    <w:basedOn w:val="1"/>
    <w:next w:val="1"/>
    <w:qFormat/>
    <w:locked/>
    <w:uiPriority w:val="99"/>
    <w:pPr>
      <w:ind w:left="420" w:leftChars="200"/>
    </w:p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4">
    <w:name w:val="Hyperlink"/>
    <w:basedOn w:val="13"/>
    <w:qFormat/>
    <w:uiPriority w:val="99"/>
    <w:rPr>
      <w:rFonts w:cs="Times New Roman"/>
      <w:color w:val="0000FF"/>
      <w:u w:val="single"/>
    </w:rPr>
  </w:style>
  <w:style w:type="character" w:styleId="15">
    <w:name w:val="annotation reference"/>
    <w:basedOn w:val="13"/>
    <w:semiHidden/>
    <w:qFormat/>
    <w:uiPriority w:val="99"/>
    <w:rPr>
      <w:rFonts w:cs="Times New Roman"/>
      <w:sz w:val="21"/>
      <w:szCs w:val="21"/>
    </w:rPr>
  </w:style>
  <w:style w:type="character" w:customStyle="1" w:styleId="16">
    <w:name w:val="Heading 1 Char"/>
    <w:basedOn w:val="13"/>
    <w:link w:val="2"/>
    <w:qFormat/>
    <w:locked/>
    <w:uiPriority w:val="99"/>
    <w:rPr>
      <w:rFonts w:ascii="Calibri" w:hAnsi="Calibri" w:cs="Times New Roman"/>
      <w:b/>
      <w:bCs/>
      <w:kern w:val="44"/>
      <w:sz w:val="44"/>
      <w:szCs w:val="44"/>
    </w:rPr>
  </w:style>
  <w:style w:type="character" w:customStyle="1" w:styleId="17">
    <w:name w:val="Comment Text Char"/>
    <w:basedOn w:val="13"/>
    <w:link w:val="4"/>
    <w:semiHidden/>
    <w:qFormat/>
    <w:locked/>
    <w:uiPriority w:val="99"/>
    <w:rPr>
      <w:rFonts w:ascii="Calibri" w:hAnsi="Calibri" w:cs="Times New Roman"/>
    </w:rPr>
  </w:style>
  <w:style w:type="character" w:customStyle="1" w:styleId="18">
    <w:name w:val="Balloon Text Char"/>
    <w:basedOn w:val="13"/>
    <w:link w:val="6"/>
    <w:semiHidden/>
    <w:qFormat/>
    <w:locked/>
    <w:uiPriority w:val="99"/>
    <w:rPr>
      <w:rFonts w:ascii="Calibri" w:hAnsi="Calibri" w:cs="Times New Roman"/>
      <w:sz w:val="2"/>
    </w:rPr>
  </w:style>
  <w:style w:type="character" w:customStyle="1" w:styleId="19">
    <w:name w:val="Footer Char"/>
    <w:basedOn w:val="13"/>
    <w:link w:val="7"/>
    <w:qFormat/>
    <w:locked/>
    <w:uiPriority w:val="99"/>
    <w:rPr>
      <w:rFonts w:cs="Times New Roman"/>
      <w:sz w:val="18"/>
      <w:szCs w:val="18"/>
    </w:rPr>
  </w:style>
  <w:style w:type="character" w:customStyle="1" w:styleId="20">
    <w:name w:val="Header Char"/>
    <w:basedOn w:val="13"/>
    <w:link w:val="8"/>
    <w:semiHidden/>
    <w:qFormat/>
    <w:locked/>
    <w:uiPriority w:val="99"/>
    <w:rPr>
      <w:rFonts w:cs="Times New Roman"/>
      <w:sz w:val="18"/>
      <w:szCs w:val="18"/>
    </w:rPr>
  </w:style>
  <w:style w:type="paragraph" w:customStyle="1" w:styleId="21">
    <w:name w:val="WPSOffice手动目录 1"/>
    <w:qFormat/>
    <w:uiPriority w:val="99"/>
    <w:rPr>
      <w:rFonts w:ascii="Times New Roman" w:hAnsi="Times New Roman" w:eastAsia="宋体" w:cs="Times New Roman"/>
      <w:kern w:val="0"/>
      <w:sz w:val="20"/>
      <w:szCs w:val="20"/>
      <w:lang w:val="en-US" w:eastAsia="zh-CN" w:bidi="ar-SA"/>
    </w:rPr>
  </w:style>
  <w:style w:type="paragraph" w:customStyle="1" w:styleId="22">
    <w:name w:val="WPSOffice手动目录 2"/>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23">
    <w:name w:val="WPSOffice手动目录 3"/>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26</Pages>
  <Words>9878</Words>
  <Characters>10218</Characters>
  <Lines>0</Lines>
  <Paragraphs>0</Paragraphs>
  <TotalTime>2</TotalTime>
  <ScaleCrop>false</ScaleCrop>
  <LinksUpToDate>false</LinksUpToDate>
  <CharactersWithSpaces>10389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2021-04-07T12:42:00Z</dcterms:created>
  <dc:creator>dell</dc:creator>
  <cp:lastModifiedBy>阮阮</cp:lastModifiedBy>
  <cp:lastPrinted>2022-04-11T10:18:00Z</cp:lastPrinted>
  <dcterms:modified xsi:type="dcterms:W3CDTF">2022-04-28T03:45:24Z</dcterms:modified>
  <dc:title>2019年秋季厦门市事业单位市、区联合招聘编内工作人员考试报考指南</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B73BEE7C0451EDEB586C696257FA8C2F</vt:lpwstr>
  </property>
</Properties>
</file>