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leftChars="0" w:right="0" w:firstLine="0" w:firstLineChars="0"/>
        <w:jc w:val="left"/>
        <w:rPr>
          <w:rFonts w:hint="default"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b/>
          <w:bCs/>
          <w:i w:val="0"/>
          <w:iCs w:val="0"/>
          <w:caps w:val="0"/>
          <w:color w:val="000000" w:themeColor="text1"/>
          <w:spacing w:val="0"/>
          <w:sz w:val="32"/>
          <w:szCs w:val="32"/>
          <w:shd w:val="clear" w:fill="FFFFFF"/>
          <w:lang w:eastAsia="zh-CN"/>
          <w14:textFill>
            <w14:solidFill>
              <w14:schemeClr w14:val="tx1"/>
            </w14:solidFill>
          </w14:textFill>
        </w:rPr>
        <w:t>附件</w:t>
      </w:r>
      <w:r>
        <w:rPr>
          <w:rFonts w:hint="eastAsia"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t>3：</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leftChars="0" w:right="0" w:firstLine="0" w:firstLineChars="0"/>
        <w:jc w:val="center"/>
        <w:rPr>
          <w:rFonts w:hint="eastAsia" w:ascii="宋体" w:hAnsi="宋体" w:eastAsia="宋体" w:cs="宋体"/>
          <w:b/>
          <w:bCs/>
          <w:i w:val="0"/>
          <w:iCs w:val="0"/>
          <w:caps w:val="0"/>
          <w:color w:val="000000" w:themeColor="text1"/>
          <w:spacing w:val="0"/>
          <w:sz w:val="36"/>
          <w:szCs w:val="36"/>
          <w14:textFill>
            <w14:solidFill>
              <w14:schemeClr w14:val="tx1"/>
            </w14:solidFill>
          </w14:textFill>
        </w:rPr>
      </w:pPr>
      <w:r>
        <w:rPr>
          <w:rFonts w:hint="eastAsia" w:ascii="宋体" w:hAnsi="宋体" w:eastAsia="宋体" w:cs="宋体"/>
          <w:b/>
          <w:bCs/>
          <w:i w:val="0"/>
          <w:iCs w:val="0"/>
          <w:caps w:val="0"/>
          <w:color w:val="000000" w:themeColor="text1"/>
          <w:spacing w:val="0"/>
          <w:sz w:val="36"/>
          <w:szCs w:val="36"/>
          <w:shd w:val="clear" w:fill="FFFFFF"/>
          <w14:textFill>
            <w14:solidFill>
              <w14:schemeClr w14:val="tx1"/>
            </w14:solidFill>
          </w14:textFill>
        </w:rPr>
        <w:t>疫情防控要求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考生参加考试须符合以下疫情防控健康监测要求：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（一）考前准备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以下情形所要求提供的核酸检测阴性证明，均需以纸质形式提供：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1.考生须提前了解并确保自己符合海南省防疫规定要求，自觉做好自身健康管理。合理安排出行时间，密切关注疫情动态，非必要不前往中高风险地区和报告确诊病例的地区。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highlight w:val="yellow"/>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2.健康码为绿码考生须提供开考前48小时内1次核酸检测阴性的证明。</w:t>
      </w:r>
      <w:r>
        <w:rPr>
          <w:rFonts w:hint="eastAsia" w:ascii="仿宋" w:hAnsi="仿宋" w:eastAsia="仿宋" w:cs="仿宋"/>
          <w:i w:val="0"/>
          <w:iCs w:val="0"/>
          <w:caps w:val="0"/>
          <w:color w:val="000000" w:themeColor="text1"/>
          <w:spacing w:val="0"/>
          <w:sz w:val="30"/>
          <w:szCs w:val="30"/>
          <w:highlight w:val="none"/>
          <w:shd w:val="clear" w:fill="FFFFFF"/>
          <w14:textFill>
            <w14:solidFill>
              <w14:schemeClr w14:val="tx1"/>
            </w14:solidFill>
          </w14:textFill>
        </w:rPr>
        <w:t>因海南省最新防疫工作要求</w:t>
      </w:r>
      <w:r>
        <w:rPr>
          <w:rFonts w:hint="eastAsia" w:ascii="仿宋" w:hAnsi="仿宋" w:eastAsia="仿宋" w:cs="仿宋"/>
          <w:i w:val="0"/>
          <w:iCs w:val="0"/>
          <w:caps w:val="0"/>
          <w:color w:val="000000" w:themeColor="text1"/>
          <w:spacing w:val="0"/>
          <w:sz w:val="30"/>
          <w:szCs w:val="30"/>
          <w:highlight w:val="none"/>
          <w:shd w:val="clear"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0"/>
          <w:sz w:val="30"/>
          <w:szCs w:val="30"/>
          <w:highlight w:val="none"/>
          <w:shd w:val="clear" w:fill="FFFFFF"/>
          <w14:textFill>
            <w14:solidFill>
              <w14:schemeClr w14:val="tx1"/>
            </w14:solidFill>
          </w14:textFill>
        </w:rPr>
        <w:t>2022年</w:t>
      </w:r>
      <w:r>
        <w:rPr>
          <w:rFonts w:hint="eastAsia" w:ascii="仿宋" w:hAnsi="仿宋" w:eastAsia="仿宋" w:cs="仿宋"/>
          <w:i w:val="0"/>
          <w:iCs w:val="0"/>
          <w:caps w:val="0"/>
          <w:color w:val="000000" w:themeColor="text1"/>
          <w:spacing w:val="0"/>
          <w:sz w:val="30"/>
          <w:szCs w:val="30"/>
          <w:highlight w:val="none"/>
          <w:shd w:val="clear" w:fill="FFFFFF"/>
          <w:lang w:val="en-US" w:eastAsia="zh-CN"/>
          <w14:textFill>
            <w14:solidFill>
              <w14:schemeClr w14:val="tx1"/>
            </w14:solidFill>
          </w14:textFill>
        </w:rPr>
        <w:t>4</w:t>
      </w:r>
      <w:r>
        <w:rPr>
          <w:rFonts w:hint="eastAsia" w:ascii="仿宋" w:hAnsi="仿宋" w:eastAsia="仿宋" w:cs="仿宋"/>
          <w:i w:val="0"/>
          <w:iCs w:val="0"/>
          <w:caps w:val="0"/>
          <w:color w:val="000000" w:themeColor="text1"/>
          <w:spacing w:val="0"/>
          <w:sz w:val="30"/>
          <w:szCs w:val="30"/>
          <w:highlight w:val="none"/>
          <w:shd w:val="clear" w:fill="FFFFFF"/>
          <w14:textFill>
            <w14:solidFill>
              <w14:schemeClr w14:val="tx1"/>
            </w14:solidFill>
          </w14:textFill>
        </w:rPr>
        <w:t>月</w:t>
      </w:r>
      <w:r>
        <w:rPr>
          <w:rFonts w:hint="eastAsia" w:ascii="仿宋" w:hAnsi="仿宋" w:eastAsia="仿宋" w:cs="仿宋"/>
          <w:i w:val="0"/>
          <w:iCs w:val="0"/>
          <w:caps w:val="0"/>
          <w:color w:val="000000" w:themeColor="text1"/>
          <w:spacing w:val="0"/>
          <w:sz w:val="30"/>
          <w:szCs w:val="30"/>
          <w:highlight w:val="none"/>
          <w:shd w:val="clear" w:fill="FFFFFF"/>
          <w:lang w:val="en-US" w:eastAsia="zh-CN"/>
          <w14:textFill>
            <w14:solidFill>
              <w14:schemeClr w14:val="tx1"/>
            </w14:solidFill>
          </w14:textFill>
        </w:rPr>
        <w:t>18</w:t>
      </w:r>
      <w:r>
        <w:rPr>
          <w:rFonts w:hint="eastAsia" w:ascii="仿宋" w:hAnsi="仿宋" w:eastAsia="仿宋" w:cs="仿宋"/>
          <w:i w:val="0"/>
          <w:iCs w:val="0"/>
          <w:caps w:val="0"/>
          <w:color w:val="000000" w:themeColor="text1"/>
          <w:spacing w:val="0"/>
          <w:sz w:val="30"/>
          <w:szCs w:val="30"/>
          <w:highlight w:val="none"/>
          <w:shd w:val="clear" w:fill="FFFFFF"/>
          <w14:textFill>
            <w14:solidFill>
              <w14:schemeClr w14:val="tx1"/>
            </w14:solidFill>
          </w14:textFill>
        </w:rPr>
        <w:t>日（含）以来有</w:t>
      </w:r>
      <w:r>
        <w:rPr>
          <w:rFonts w:hint="eastAsia" w:ascii="仿宋" w:hAnsi="仿宋" w:eastAsia="仿宋" w:cs="仿宋"/>
          <w:i w:val="0"/>
          <w:iCs w:val="0"/>
          <w:caps w:val="0"/>
          <w:color w:val="000000" w:themeColor="text1"/>
          <w:spacing w:val="0"/>
          <w:sz w:val="30"/>
          <w:szCs w:val="30"/>
          <w:highlight w:val="none"/>
          <w:shd w:val="clear" w:fill="FFFFFF"/>
          <w:lang w:eastAsia="zh-CN"/>
          <w14:textFill>
            <w14:solidFill>
              <w14:schemeClr w14:val="tx1"/>
            </w14:solidFill>
          </w14:textFill>
        </w:rPr>
        <w:t>陵水县英州镇</w:t>
      </w:r>
      <w:r>
        <w:rPr>
          <w:rFonts w:hint="eastAsia" w:ascii="仿宋" w:hAnsi="仿宋" w:eastAsia="仿宋" w:cs="仿宋"/>
          <w:i w:val="0"/>
          <w:iCs w:val="0"/>
          <w:caps w:val="0"/>
          <w:color w:val="000000" w:themeColor="text1"/>
          <w:spacing w:val="0"/>
          <w:sz w:val="30"/>
          <w:szCs w:val="30"/>
          <w:highlight w:val="none"/>
          <w:shd w:val="clear" w:fill="FFFFFF"/>
          <w14:textFill>
            <w14:solidFill>
              <w14:schemeClr w14:val="tx1"/>
            </w14:solidFill>
          </w14:textFill>
        </w:rPr>
        <w:t>旅居史的人员，须提供开考前48小时内2次核酸检测阴性证明。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3.健康码不为绿色的考生，须按照以下不同情况提交相应的证明材料，方可在常规考场参加考试：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（1）考前14天内有过发热（体温超过37.3℃）、咳嗽、气促等症状但排除新冠病毒感染的考生，须提供开考前48小时内1次核酸检测结果阴性的证明。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（2）考试前被有关部门划定为密接、次密接，考前14天有涉疫区旅居史人员，应按要求完成管控，取得相关证明并提供开考前48小时内2次核酸检测结果阴性的证明。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3）考前14天内有新冠肺炎疫情中高风险地区（根据全国疫情发展情况确定）旅居史的考生，需持解除集中隔离告知书、解除居家健康监测告知书、开考前48小时内两次（间隔24小时）核酸检测阴性证明，否则不得参加考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4）考前28天内有境外旅居史的考生，严格按照我省疫情防控指挥部要求实施管控，须集中隔离医学观察14天、7天居家健康监测、7天自我健康监测。“14+7+7”健康管理期间，严格按要求做核酸检测。考试时提供居家健康监测期间2次核酸检测阴性证明和自我健康监测第7天核酸检测阴性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4.凡隐瞒病情或者不如实报告发热史、旅行史（旅居史）和接触史等信息，以及拒不配合考场疫情防控工作者，将被取消考试资格，并按照《治安管理处罚法》《传染病防治法》和《关于依法惩治妨害新型冠状病毒感染肺炎疫情防控违法犯罪的意见》等法律法规予以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5.考试疫情防控措施将根据疫情防控形势变化适时调整，请考生密切关注</w:t>
      </w:r>
      <w:r>
        <w:rPr>
          <w:rFonts w:hint="eastAsia" w:ascii="仿宋" w:hAnsi="仿宋" w:eastAsia="仿宋" w:cs="仿宋"/>
          <w:i w:val="0"/>
          <w:iCs w:val="0"/>
          <w:caps w:val="0"/>
          <w:color w:val="000000" w:themeColor="text1"/>
          <w:spacing w:val="0"/>
          <w:sz w:val="30"/>
          <w:szCs w:val="30"/>
          <w:shd w:val="clear" w:fill="FFFFFF"/>
          <w:lang w:eastAsia="zh-CN"/>
          <w14:textFill>
            <w14:solidFill>
              <w14:schemeClr w14:val="tx1"/>
            </w14:solidFill>
          </w14:textFill>
        </w:rPr>
        <w:t>临高县人民政府官网</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发布的公告。具体防疫工作将根据海南省新型冠状病毒肺炎疫情防控工作指挥部最新防疫工作要求进行调整。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（二）应试要求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1.考生进入考点时须佩戴口罩(自备)，接受防疫安全检查和指导，听从考点考试工作人员指挥。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2.考生出示“健康码”、“</w:t>
      </w:r>
      <w:r>
        <w:rPr>
          <w:rFonts w:hint="eastAsia" w:ascii="仿宋" w:hAnsi="仿宋" w:eastAsia="仿宋" w:cs="仿宋"/>
          <w:i w:val="0"/>
          <w:iCs w:val="0"/>
          <w:caps w:val="0"/>
          <w:color w:val="000000" w:themeColor="text1"/>
          <w:spacing w:val="0"/>
          <w:sz w:val="30"/>
          <w:szCs w:val="30"/>
          <w:shd w:val="clear" w:fill="FFFFFF"/>
          <w:lang w:eastAsia="zh-CN"/>
          <w14:textFill>
            <w14:solidFill>
              <w14:schemeClr w14:val="tx1"/>
            </w14:solidFill>
          </w14:textFill>
        </w:rPr>
        <w:t>地点</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码”、“通信大数据行程卡”、纸质版开考前48小时内(至少1次)核酸检测阴性证明，并交由工作人员检查，测量体温低于37.3℃的考生，方可入进入考点；“健康码”</w:t>
      </w:r>
      <w:r>
        <w:rPr>
          <w:rFonts w:hint="eastAsia" w:ascii="仿宋" w:hAnsi="仿宋" w:eastAsia="仿宋" w:cs="仿宋"/>
          <w:i w:val="0"/>
          <w:iCs w:val="0"/>
          <w:caps w:val="0"/>
          <w:color w:val="000000" w:themeColor="text1"/>
          <w:spacing w:val="0"/>
          <w:sz w:val="30"/>
          <w:szCs w:val="30"/>
          <w:shd w:val="clear"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w:t>
      </w:r>
      <w:r>
        <w:rPr>
          <w:rFonts w:hint="eastAsia" w:ascii="仿宋" w:hAnsi="仿宋" w:eastAsia="仿宋" w:cs="仿宋"/>
          <w:i w:val="0"/>
          <w:iCs w:val="0"/>
          <w:caps w:val="0"/>
          <w:color w:val="000000" w:themeColor="text1"/>
          <w:spacing w:val="0"/>
          <w:sz w:val="30"/>
          <w:szCs w:val="30"/>
          <w:shd w:val="clear" w:fill="FFFFFF"/>
          <w:lang w:eastAsia="zh-CN"/>
          <w14:textFill>
            <w14:solidFill>
              <w14:schemeClr w14:val="tx1"/>
            </w14:solidFill>
          </w14:textFill>
        </w:rPr>
        <w:t>地点</w:t>
      </w: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码”不为绿码的考生，还须按上述要求提供核酸检测结果为阴性的证明，方可进入考点；考生体温达到或超过37.3℃，须服从考点应急处置安排。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3.考试期间考生须全程佩戴口罩。考试过程中，考生如突感不适，应主动联系工作人员，听从工作人员安排。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（三）健康码及通信大数据行程卡获取方式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1.健康码获取方式如下：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（1）微信可点击“发现”-“搜一搜”，在搜索框输入“健康码”，进入“国家政务服务平台”，填写基本信息，获取防疫健康信息码。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（2）扫描“海南健康码”二维码，填写基本信息，获取海南健康码。</w:t>
      </w:r>
    </w:p>
    <w:tbl>
      <w:tblPr>
        <w:tblStyle w:val="3"/>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
        <w:gridCol w:w="4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jc w:val="center"/>
        </w:trPr>
        <w:tc>
          <w:tcPr>
            <w:tcW w:w="0" w:type="auto"/>
            <w:shd w:val="clear" w:color="auto" w:fill="FFFFFF"/>
            <w:vAlign w:val="center"/>
          </w:tcPr>
          <w:p>
            <w:pPr>
              <w:keepNext w:val="0"/>
              <w:keepLines w:val="0"/>
              <w:pageBreakBefore w:val="0"/>
              <w:widowControl/>
              <w:kinsoku/>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p>
        </w:tc>
        <w:tc>
          <w:tcPr>
            <w:tcW w:w="0" w:type="auto"/>
            <w:shd w:val="clear" w:color="auto" w:fill="FFFFFF"/>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auto"/>
              <w:ind w:left="0" w:right="0" w:firstLine="600" w:firstLineChars="200"/>
              <w:jc w:val="left"/>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kern w:val="0"/>
                <w:sz w:val="30"/>
                <w:szCs w:val="30"/>
                <w:lang w:val="en-US" w:eastAsia="zh-CN" w:bidi="ar"/>
                <w14:textFill>
                  <w14:solidFill>
                    <w14:schemeClr w14:val="tx1"/>
                  </w14:solidFill>
                </w14:textFill>
              </w:rPr>
              <w:drawing>
                <wp:inline distT="0" distB="0" distL="114300" distR="114300">
                  <wp:extent cx="2400300" cy="22764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2400300" cy="2276475"/>
                          </a:xfrm>
                          <a:prstGeom prst="rect">
                            <a:avLst/>
                          </a:prstGeom>
                          <a:noFill/>
                          <a:ln w="9525">
                            <a:noFill/>
                          </a:ln>
                        </pic:spPr>
                      </pic:pic>
                    </a:graphicData>
                  </a:graphic>
                </wp:inline>
              </w:drawing>
            </w:r>
          </w:p>
        </w:tc>
      </w:tr>
    </w:tbl>
    <w:p>
      <w:pPr>
        <w:keepNext w:val="0"/>
        <w:keepLines w:val="0"/>
        <w:pageBreakBefore w:val="0"/>
        <w:widowControl/>
        <w:suppressLineNumbers w:val="0"/>
        <w:kinsoku/>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i w:val="0"/>
          <w:iCs w:val="0"/>
          <w:caps w:val="0"/>
          <w:color w:val="000000" w:themeColor="text1"/>
          <w:spacing w:val="0"/>
          <w:kern w:val="0"/>
          <w:sz w:val="30"/>
          <w:szCs w:val="30"/>
          <w:shd w:val="clear" w:fill="FFFFFF"/>
          <w:lang w:val="en-US" w:eastAsia="zh-CN" w:bidi="ar"/>
          <w14:textFill>
            <w14:solidFill>
              <w14:schemeClr w14:val="tx1"/>
            </w14:solidFill>
          </w14:textFill>
        </w:rPr>
        <w:t>    （3）支付宝可点击“健康码”，填写基本信息，获取健康码。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（4）海南政务服务、椰城市民云APP均可获取“健康码”。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60" w:lineRule="auto"/>
        <w:ind w:left="0" w:right="0" w:firstLine="600" w:firstLineChars="200"/>
        <w:jc w:val="both"/>
        <w:textAlignment w:val="auto"/>
        <w:rPr>
          <w:rFonts w:hint="eastAsia" w:ascii="仿宋" w:hAnsi="仿宋" w:eastAsia="仿宋" w:cs="仿宋"/>
          <w:i w:val="0"/>
          <w:iCs w:val="0"/>
          <w:caps w:val="0"/>
          <w:color w:val="000000" w:themeColor="text1"/>
          <w:spacing w:val="0"/>
          <w:sz w:val="30"/>
          <w:szCs w:val="30"/>
          <w14:textFill>
            <w14:solidFill>
              <w14:schemeClr w14:val="tx1"/>
            </w14:solidFill>
          </w14:textFill>
        </w:rPr>
      </w:pPr>
      <w:r>
        <w:rPr>
          <w:rFonts w:hint="eastAsia" w:ascii="仿宋" w:hAnsi="仿宋" w:eastAsia="仿宋" w:cs="仿宋"/>
          <w:i w:val="0"/>
          <w:iCs w:val="0"/>
          <w:caps w:val="0"/>
          <w:color w:val="000000" w:themeColor="text1"/>
          <w:spacing w:val="0"/>
          <w:sz w:val="30"/>
          <w:szCs w:val="30"/>
          <w:shd w:val="clear" w:fill="FFFFFF"/>
          <w14:textFill>
            <w14:solidFill>
              <w14:schemeClr w14:val="tx1"/>
            </w14:solidFill>
          </w14:textFill>
        </w:rPr>
        <w:t>2.“通信大数据行程卡”获取方式如下：</w:t>
      </w:r>
    </w:p>
    <w:tbl>
      <w:tblPr>
        <w:tblStyle w:val="3"/>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
        <w:gridCol w:w="3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jc w:val="center"/>
        </w:trPr>
        <w:tc>
          <w:tcPr>
            <w:tcW w:w="0" w:type="auto"/>
            <w:shd w:val="clear" w:color="auto" w:fill="FFFFFF"/>
            <w:vAlign w:val="center"/>
          </w:tcPr>
          <w:p>
            <w:pPr>
              <w:jc w:val="left"/>
              <w:rPr>
                <w:rFonts w:hint="eastAsia" w:ascii="微软雅黑" w:hAnsi="微软雅黑" w:eastAsia="微软雅黑" w:cs="微软雅黑"/>
                <w:i w:val="0"/>
                <w:iCs w:val="0"/>
                <w:caps w:val="0"/>
                <w:color w:val="000000" w:themeColor="text1"/>
                <w:spacing w:val="0"/>
                <w:sz w:val="18"/>
                <w:szCs w:val="18"/>
                <w14:textFill>
                  <w14:solidFill>
                    <w14:schemeClr w14:val="tx1"/>
                  </w14:solidFill>
                </w14:textFill>
              </w:rPr>
            </w:pPr>
          </w:p>
        </w:tc>
        <w:tc>
          <w:tcPr>
            <w:tcW w:w="0" w:type="auto"/>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000000" w:themeColor="text1"/>
                <w:spacing w:val="0"/>
                <w:sz w:val="18"/>
                <w:szCs w:val="18"/>
                <w14:textFill>
                  <w14:solidFill>
                    <w14:schemeClr w14:val="tx1"/>
                  </w14:solidFill>
                </w14:textFill>
              </w:rPr>
            </w:pPr>
            <w:r>
              <w:rPr>
                <w:rFonts w:hint="eastAsia" w:ascii="微软雅黑" w:hAnsi="微软雅黑" w:eastAsia="微软雅黑" w:cs="微软雅黑"/>
                <w:i w:val="0"/>
                <w:iCs w:val="0"/>
                <w:caps w:val="0"/>
                <w:color w:val="000000" w:themeColor="text1"/>
                <w:spacing w:val="0"/>
                <w:kern w:val="0"/>
                <w:sz w:val="18"/>
                <w:szCs w:val="18"/>
                <w:lang w:val="en-US" w:eastAsia="zh-CN" w:bidi="ar"/>
                <w14:textFill>
                  <w14:solidFill>
                    <w14:schemeClr w14:val="tx1"/>
                  </w14:solidFill>
                </w14:textFill>
              </w:rPr>
              <w:drawing>
                <wp:inline distT="0" distB="0" distL="114300" distR="114300">
                  <wp:extent cx="2409825" cy="2276475"/>
                  <wp:effectExtent l="0" t="0" r="9525"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2409825" cy="2276475"/>
                          </a:xfrm>
                          <a:prstGeom prst="rect">
                            <a:avLst/>
                          </a:prstGeom>
                          <a:noFill/>
                          <a:ln w="9525">
                            <a:noFill/>
                          </a:ln>
                        </pic:spPr>
                      </pic:pic>
                    </a:graphicData>
                  </a:graphic>
                </wp:inline>
              </w:drawing>
            </w:r>
          </w:p>
        </w:tc>
      </w:tr>
    </w:tbl>
    <w:p>
      <w:pPr>
        <w:keepNext w:val="0"/>
        <w:keepLines w:val="0"/>
        <w:widowControl/>
        <w:suppressLineNumbers w:val="0"/>
        <w:jc w:val="left"/>
        <w:rPr>
          <w:color w:val="000000" w:themeColor="text1"/>
          <w14:textFill>
            <w14:solidFill>
              <w14:schemeClr w14:val="tx1"/>
            </w14:solidFill>
          </w14:textFill>
        </w:rPr>
      </w:pPr>
      <w:r>
        <w:rPr>
          <w:rFonts w:hint="default" w:ascii="仿宋_GB2312" w:hAnsi="仿宋"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    （</w:t>
      </w:r>
      <w:r>
        <w:rPr>
          <w:rFonts w:hint="eastAsia" w:ascii="仿宋" w:hAnsi="仿宋" w:eastAsia="仿宋" w:cs="仿宋"/>
          <w:i w:val="0"/>
          <w:iCs w:val="0"/>
          <w:caps w:val="0"/>
          <w:color w:val="000000" w:themeColor="text1"/>
          <w:spacing w:val="0"/>
          <w:kern w:val="0"/>
          <w:sz w:val="32"/>
          <w:szCs w:val="32"/>
          <w:shd w:val="clear" w:fill="FFFFFF"/>
          <w:lang w:val="en-US" w:eastAsia="zh-CN" w:bidi="ar"/>
          <w14:textFill>
            <w14:solidFill>
              <w14:schemeClr w14:val="tx1"/>
            </w14:solidFill>
          </w14:textFill>
        </w:rPr>
        <w:t>1）打开微信“扫一扫”输入手机号及短信验证码进行查询。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40"/>
        <w:jc w:val="both"/>
        <w:rPr>
          <w:rFonts w:hint="default" w:ascii="Calibri" w:hAnsi="Calibri" w:cs="Calibri"/>
          <w:i w:val="0"/>
          <w:iCs w:val="0"/>
          <w:caps w:val="0"/>
          <w:color w:val="000000" w:themeColor="text1"/>
          <w:spacing w:val="0"/>
          <w:sz w:val="21"/>
          <w:szCs w:val="21"/>
          <w14:textFill>
            <w14:solidFill>
              <w14:schemeClr w14:val="tx1"/>
            </w14:solidFill>
          </w14:textFill>
        </w:rPr>
      </w:pPr>
      <w:r>
        <w:rPr>
          <w:rFonts w:hint="default" w:ascii="仿宋_GB2312" w:hAnsi="仿宋" w:eastAsia="仿宋_GB2312" w:cs="仿宋_GB2312"/>
          <w:i w:val="0"/>
          <w:iCs w:val="0"/>
          <w:caps w:val="0"/>
          <w:color w:val="000000" w:themeColor="text1"/>
          <w:spacing w:val="0"/>
          <w:sz w:val="32"/>
          <w:szCs w:val="32"/>
          <w:shd w:val="clear" w:fill="FFFFFF"/>
          <w14:textFill>
            <w14:solidFill>
              <w14:schemeClr w14:val="tx1"/>
            </w14:solidFill>
          </w14:textFill>
        </w:rPr>
        <w:t>（</w:t>
      </w: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2）打开微信点击“发现”—“搜一搜”，在搜索框输入“通信大数据行程卡”，进入“国务院客户端”，填写手机号及验证码，获取大数据通信大数据行程卡。</w:t>
      </w:r>
    </w:p>
    <w:p>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ZTg5NGE5ZGJjNzkxZWZjZWVkOGZmMGRjY2Q2YjIifQ=="/>
  </w:docVars>
  <w:rsids>
    <w:rsidRoot w:val="74203A36"/>
    <w:rsid w:val="07873A5C"/>
    <w:rsid w:val="0A466333"/>
    <w:rsid w:val="0B91045B"/>
    <w:rsid w:val="0BD3053B"/>
    <w:rsid w:val="164976AB"/>
    <w:rsid w:val="19DD0836"/>
    <w:rsid w:val="1A9A2283"/>
    <w:rsid w:val="1B8847D2"/>
    <w:rsid w:val="258C59A3"/>
    <w:rsid w:val="26983429"/>
    <w:rsid w:val="35EA07E3"/>
    <w:rsid w:val="42254279"/>
    <w:rsid w:val="45044742"/>
    <w:rsid w:val="56F76347"/>
    <w:rsid w:val="591C12A9"/>
    <w:rsid w:val="5FE315A4"/>
    <w:rsid w:val="6BCB7ABB"/>
    <w:rsid w:val="74203A36"/>
    <w:rsid w:val="75B4272A"/>
    <w:rsid w:val="77BF424C"/>
    <w:rsid w:val="7FC06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1347</Words>
  <Characters>1390</Characters>
  <Lines>0</Lines>
  <Paragraphs>0</Paragraphs>
  <TotalTime>3</TotalTime>
  <ScaleCrop>false</ScaleCrop>
  <LinksUpToDate>false</LinksUpToDate>
  <CharactersWithSpaces>1390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2022-03-10T07:55:00Z</dcterms:created>
  <dc:creator>冰冰</dc:creator>
  <cp:lastModifiedBy>lenovo</cp:lastModifiedBy>
  <cp:lastPrinted>2022-04-28T01:53:09Z</cp:lastPrinted>
  <dcterms:modified xsi:type="dcterms:W3CDTF">2022-04-28T01:53:20Z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5A6E640F1C6B48A0B4FFAF356EA31801</vt:lpwstr>
  </property>
</Properties>
</file>