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default" w:ascii="Arial"/>
          <w:color w:val="00000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Style w:val="11"/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Style w:val="11"/>
          <w:rFonts w:hint="eastAsia" w:ascii="方正小标宋简体" w:hAnsi="方正小标宋简体" w:eastAsia="方正小标宋简体" w:cs="方正小标宋简体"/>
          <w:sz w:val="44"/>
          <w:szCs w:val="44"/>
        </w:rPr>
        <w:t>中医适宜技术耳穴压丸防控儿童青少年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Style w:val="11"/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Style w:val="11"/>
          <w:rFonts w:hint="eastAsia" w:ascii="方正小标宋简体" w:hAnsi="方正小标宋简体" w:eastAsia="方正小标宋简体" w:cs="方正小标宋简体"/>
          <w:sz w:val="44"/>
          <w:szCs w:val="44"/>
        </w:rPr>
        <w:t>近视操作指南（试点使用）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Style w:val="11"/>
          <w:rFonts w:ascii="Times New Roman" w:hAnsi="Times New Roman" w:eastAsia="仿宋_GB2312" w:cs="Times New Roman"/>
          <w:sz w:val="32"/>
          <w:szCs w:val="32"/>
        </w:rPr>
      </w:pPr>
      <w:r>
        <w:rPr>
          <w:rStyle w:val="11"/>
          <w:rFonts w:ascii="Times New Roman" w:hAnsi="Times New Roman" w:eastAsia="仿宋_GB2312" w:cs="Times New Roman"/>
          <w:sz w:val="32"/>
          <w:szCs w:val="32"/>
        </w:rPr>
        <w:t>近视是全球重大公共卫生问题，在我国呈低龄、高发、进展快的特征，已成为影响国民健康素质的重大问题。为积极深入贯彻习近平总书记关于</w:t>
      </w:r>
      <w:r>
        <w:rPr>
          <w:rStyle w:val="11"/>
          <w:rFonts w:hint="eastAsia" w:ascii="Times New Roman" w:hAnsi="Times New Roman" w:eastAsia="仿宋_GB2312" w:cs="Times New Roman"/>
          <w:sz w:val="32"/>
          <w:szCs w:val="32"/>
        </w:rPr>
        <w:t>学生</w:t>
      </w:r>
      <w:r>
        <w:rPr>
          <w:rStyle w:val="11"/>
          <w:rFonts w:ascii="Times New Roman" w:hAnsi="Times New Roman" w:eastAsia="仿宋_GB2312" w:cs="Times New Roman"/>
          <w:sz w:val="32"/>
          <w:szCs w:val="32"/>
        </w:rPr>
        <w:t>近视问题系列重要指示批示精神，进一步落实《</w:t>
      </w:r>
      <w:r>
        <w:rPr>
          <w:rStyle w:val="11"/>
          <w:rFonts w:hint="eastAsia" w:ascii="Times New Roman" w:hAnsi="Times New Roman" w:eastAsia="仿宋_GB2312" w:cs="Times New Roman"/>
          <w:sz w:val="32"/>
          <w:szCs w:val="32"/>
        </w:rPr>
        <w:t>关于开展中医适宜技术防控儿童青少年近视试点工作的通知</w:t>
      </w:r>
      <w:r>
        <w:rPr>
          <w:rStyle w:val="11"/>
          <w:rFonts w:ascii="Times New Roman" w:hAnsi="Times New Roman" w:eastAsia="仿宋_GB2312" w:cs="Times New Roman"/>
          <w:sz w:val="32"/>
          <w:szCs w:val="32"/>
        </w:rPr>
        <w:t>》，指导科学规范的开展防控工作，提高防控技术能力，</w:t>
      </w:r>
      <w:r>
        <w:rPr>
          <w:rStyle w:val="11"/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中华中医药学会</w:t>
      </w:r>
      <w:r>
        <w:rPr>
          <w:rStyle w:val="11"/>
          <w:rFonts w:ascii="Times New Roman" w:hAnsi="Times New Roman" w:eastAsia="仿宋_GB2312" w:cs="Times New Roman"/>
          <w:sz w:val="32"/>
          <w:szCs w:val="32"/>
        </w:rPr>
        <w:t>特制定《</w:t>
      </w:r>
      <w:r>
        <w:rPr>
          <w:rStyle w:val="11"/>
          <w:rFonts w:hint="eastAsia" w:ascii="Times New Roman" w:hAnsi="Times New Roman" w:eastAsia="仿宋_GB2312" w:cs="Times New Roman"/>
          <w:sz w:val="32"/>
          <w:szCs w:val="32"/>
        </w:rPr>
        <w:t>中医适宜技术耳穴压丸防控儿童青少年近视</w:t>
      </w:r>
      <w:r>
        <w:rPr>
          <w:rFonts w:hint="eastAsia" w:ascii="仿宋_GB2312" w:hAnsi="仿宋_GB2312" w:eastAsia="仿宋_GB2312" w:cs="仿宋_GB2312"/>
          <w:sz w:val="32"/>
          <w:szCs w:val="32"/>
        </w:rPr>
        <w:t>操作指南</w:t>
      </w:r>
      <w:r>
        <w:rPr>
          <w:rStyle w:val="11"/>
          <w:rFonts w:ascii="Times New Roman" w:hAnsi="Times New Roman" w:eastAsia="仿宋_GB2312" w:cs="Times New Roman"/>
          <w:sz w:val="32"/>
          <w:szCs w:val="32"/>
        </w:rPr>
        <w:t>（试点试用）》（以下简称《</w:t>
      </w:r>
      <w:r>
        <w:rPr>
          <w:rStyle w:val="11"/>
          <w:rFonts w:hint="eastAsia" w:ascii="Times New Roman" w:hAnsi="Times New Roman" w:eastAsia="仿宋_GB2312" w:cs="Times New Roman"/>
          <w:sz w:val="32"/>
          <w:szCs w:val="32"/>
        </w:rPr>
        <w:t>操作指南</w:t>
      </w:r>
      <w:r>
        <w:rPr>
          <w:rStyle w:val="11"/>
          <w:rFonts w:ascii="Times New Roman" w:hAnsi="Times New Roman" w:eastAsia="仿宋_GB2312" w:cs="Times New Roman"/>
          <w:sz w:val="32"/>
          <w:szCs w:val="32"/>
        </w:rPr>
        <w:t>》）。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ascii="黑体" w:hAnsi="黑体" w:eastAsia="黑体" w:cs="Times New Roman"/>
          <w:sz w:val="32"/>
          <w:szCs w:val="32"/>
        </w:rPr>
      </w:pPr>
      <w:r>
        <w:rPr>
          <w:rStyle w:val="11"/>
          <w:rFonts w:ascii="黑体" w:hAnsi="黑体" w:eastAsia="黑体" w:cs="Times New Roman"/>
          <w:sz w:val="32"/>
          <w:szCs w:val="32"/>
        </w:rPr>
        <w:t>一、适用范围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both"/>
        <w:textAlignment w:val="baseline"/>
        <w:rPr>
          <w:rStyle w:val="11"/>
          <w:rFonts w:ascii="Times New Roman" w:hAnsi="Times New Roman" w:eastAsia="仿宋_GB2312" w:cs="Times New Roman"/>
          <w:spacing w:val="-6"/>
          <w:sz w:val="32"/>
          <w:szCs w:val="32"/>
        </w:rPr>
      </w:pPr>
      <w:r>
        <w:rPr>
          <w:rStyle w:val="11"/>
          <w:rFonts w:hint="eastAsia" w:ascii="Times New Roman" w:hAnsi="Times New Roman" w:eastAsia="仿宋_GB2312" w:cs="Times New Roman"/>
          <w:spacing w:val="-6"/>
          <w:sz w:val="32"/>
          <w:szCs w:val="32"/>
        </w:rPr>
        <w:t>《操作指南》主要</w:t>
      </w:r>
      <w:r>
        <w:rPr>
          <w:rStyle w:val="11"/>
          <w:rFonts w:ascii="Times New Roman" w:hAnsi="Times New Roman" w:eastAsia="仿宋_GB2312" w:cs="Times New Roman"/>
          <w:spacing w:val="-6"/>
          <w:sz w:val="32"/>
          <w:szCs w:val="32"/>
        </w:rPr>
        <w:t>适用于中医适宜技术（耳穴压丸）防控</w:t>
      </w:r>
      <w:r>
        <w:rPr>
          <w:rStyle w:val="11"/>
          <w:rFonts w:ascii="仿宋_GB2312" w:hAnsi="仿宋_GB2312" w:eastAsia="仿宋_GB2312" w:cs="Times New Roman"/>
          <w:spacing w:val="-6"/>
          <w:kern w:val="0"/>
          <w:sz w:val="32"/>
          <w:szCs w:val="32"/>
        </w:rPr>
        <w:t>6</w:t>
      </w:r>
      <w:r>
        <w:rPr>
          <w:rStyle w:val="11"/>
          <w:rFonts w:hint="eastAsia" w:ascii="仿宋_GB2312" w:hAnsi="仿宋_GB2312" w:eastAsia="仿宋_GB2312" w:cs="Times New Roman"/>
          <w:spacing w:val="-6"/>
          <w:kern w:val="0"/>
          <w:sz w:val="32"/>
          <w:szCs w:val="32"/>
          <w:lang w:eastAsia="zh-CN"/>
        </w:rPr>
        <w:t>－</w:t>
      </w:r>
      <w:r>
        <w:rPr>
          <w:rStyle w:val="11"/>
          <w:rFonts w:ascii="仿宋_GB2312" w:hAnsi="仿宋_GB2312" w:eastAsia="仿宋_GB2312" w:cs="Times New Roman"/>
          <w:spacing w:val="-6"/>
          <w:kern w:val="0"/>
          <w:sz w:val="32"/>
          <w:szCs w:val="32"/>
        </w:rPr>
        <w:t>12岁</w:t>
      </w:r>
      <w:r>
        <w:rPr>
          <w:rStyle w:val="11"/>
          <w:rFonts w:ascii="Times New Roman" w:hAnsi="Times New Roman" w:eastAsia="仿宋_GB2312" w:cs="Times New Roman"/>
          <w:spacing w:val="-6"/>
          <w:sz w:val="32"/>
          <w:szCs w:val="32"/>
        </w:rPr>
        <w:t>儿童青少年近视工作的开展，</w:t>
      </w:r>
      <w:r>
        <w:rPr>
          <w:rStyle w:val="11"/>
          <w:rFonts w:hint="eastAsia" w:ascii="Times New Roman" w:hAnsi="Times New Roman" w:eastAsia="仿宋_GB2312" w:cs="Times New Roman"/>
          <w:spacing w:val="-6"/>
          <w:sz w:val="32"/>
          <w:szCs w:val="32"/>
        </w:rPr>
        <w:t>有意愿的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县（市、区）可以扩大儿童青少年的年龄。</w:t>
      </w:r>
      <w:r>
        <w:rPr>
          <w:rStyle w:val="11"/>
          <w:rFonts w:ascii="Times New Roman" w:hAnsi="Times New Roman" w:eastAsia="仿宋_GB2312" w:cs="Times New Roman"/>
          <w:spacing w:val="-6"/>
          <w:sz w:val="32"/>
          <w:szCs w:val="32"/>
        </w:rPr>
        <w:t>《</w:t>
      </w:r>
      <w:r>
        <w:rPr>
          <w:rStyle w:val="11"/>
          <w:rFonts w:hint="eastAsia" w:ascii="Times New Roman" w:hAnsi="Times New Roman" w:eastAsia="仿宋_GB2312" w:cs="Times New Roman"/>
          <w:spacing w:val="-6"/>
          <w:sz w:val="32"/>
          <w:szCs w:val="32"/>
        </w:rPr>
        <w:t>操作指南</w:t>
      </w:r>
      <w:r>
        <w:rPr>
          <w:rStyle w:val="11"/>
          <w:rFonts w:ascii="Times New Roman" w:hAnsi="Times New Roman" w:eastAsia="仿宋_GB2312" w:cs="Times New Roman"/>
          <w:spacing w:val="-6"/>
          <w:sz w:val="32"/>
          <w:szCs w:val="32"/>
        </w:rPr>
        <w:t>》使用人员为小学校医，中医医院以及基层医疗卫生机构的中医类别、临床类别医师</w:t>
      </w:r>
      <w:r>
        <w:rPr>
          <w:rStyle w:val="11"/>
          <w:rFonts w:hint="eastAsia" w:ascii="Times New Roman" w:hAnsi="Times New Roman" w:eastAsia="仿宋_GB2312" w:cs="Times New Roman"/>
          <w:spacing w:val="-6"/>
          <w:sz w:val="32"/>
          <w:szCs w:val="32"/>
        </w:rPr>
        <w:t>（经规范培训合格的“西学中”人员）</w:t>
      </w:r>
      <w:r>
        <w:rPr>
          <w:rStyle w:val="11"/>
          <w:rFonts w:ascii="Times New Roman" w:hAnsi="Times New Roman" w:eastAsia="仿宋_GB2312" w:cs="Times New Roman"/>
          <w:spacing w:val="-6"/>
          <w:sz w:val="32"/>
          <w:szCs w:val="32"/>
        </w:rPr>
        <w:t>、护理专业人员。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hint="eastAsia" w:ascii="黑体" w:hAnsi="黑体" w:eastAsia="黑体" w:cs="Times New Roman"/>
          <w:sz w:val="32"/>
          <w:szCs w:val="32"/>
        </w:rPr>
      </w:pPr>
      <w:r>
        <w:rPr>
          <w:rStyle w:val="11"/>
          <w:rFonts w:hint="eastAsia" w:ascii="黑体" w:hAnsi="黑体" w:eastAsia="黑体" w:cs="Times New Roman"/>
          <w:sz w:val="32"/>
          <w:szCs w:val="32"/>
        </w:rPr>
        <w:t>二、近视历史沿革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</w:pP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近视是指在调节放松状态下，来自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5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m以外的平行光线经眼球屈光系统后聚焦在视网膜之前的病理状态。中医属“能近怯远症”“近觑”“目不能远视”的范畴。早在隋朝巢元方编撰的《诸病源候论》中，就已有“目不能远视”的记载，谓之“目不能远视，视物则茫茫漠漠也。”至明代，著名眼科医家傅仁宇在所著《审视瑶函》中，将此症命名为“能近怯远症”，并有“久视伤睛成近觑”的记载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  <w:lang w:eastAsia="zh-CN"/>
        </w:rPr>
        <w:t>。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到清代，眼科名家黄庭镜在所著《目经大成》中明确了“近视”的概念。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hint="eastAsia" w:ascii="黑体" w:hAnsi="黑体" w:eastAsia="黑体" w:cs="Times New Roman"/>
          <w:sz w:val="32"/>
          <w:szCs w:val="32"/>
        </w:rPr>
      </w:pPr>
      <w:r>
        <w:rPr>
          <w:rStyle w:val="11"/>
          <w:rFonts w:hint="eastAsia" w:ascii="黑体" w:hAnsi="黑体" w:eastAsia="黑体" w:cs="Times New Roman"/>
          <w:sz w:val="32"/>
          <w:szCs w:val="32"/>
        </w:rPr>
        <w:t>三、病因病机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</w:pP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中医认为近视的发生，主要是先天禀赋不足和后天发育不良、劳瞻竭视。《审视瑶函》记载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  <w:lang w:eastAsia="zh-CN"/>
        </w:rPr>
        <w:t>：“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禀受生成近觑之病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  <w:lang w:eastAsia="zh-CN"/>
        </w:rPr>
        <w:t>”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，也就是现代医学所说的遗传因素。《千金要方·七窍病》有“夜读细书、月下看书、抄写多年、雕镂细作”的记载，涵盖了在光线不好的地方看书，长时间近距离的用眼，也就是现代医学所说的环境因素和行为因素，所谓“进士尽是近视”更是强调了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用眼过度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与近视发生的关系。此外还有“过食肥甘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厚味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”、“作息不调”等行为因素也会导致近视的发生，这与现代所说甜食会导致近视的研究也是相符合的。总的来说，就是先天因素和环境、行为因素共同导致了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近视的发生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、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进展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。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</w:pP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病机方面认为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，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目窍之所以能视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，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离不开五脏六腑之精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、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气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、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血的渗灌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，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因此近视多责之于心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、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肝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、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脾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、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肾四脏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。“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心阳不足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”“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脾气虚弱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”“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肝血不足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”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及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“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肾精亏虚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”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等导致气血无力推动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，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目络空虚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，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血行不畅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，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目失濡养则神光拘敛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，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不能发越而出现能近怯远是其主要病机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。</w:t>
      </w:r>
    </w:p>
    <w:p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hint="eastAsia" w:ascii="黑体" w:hAnsi="黑体" w:eastAsia="黑体" w:cs="Times New Roman"/>
          <w:sz w:val="32"/>
          <w:szCs w:val="32"/>
        </w:rPr>
      </w:pPr>
      <w:r>
        <w:rPr>
          <w:rStyle w:val="11"/>
          <w:rFonts w:hint="eastAsia" w:ascii="黑体" w:hAnsi="黑体" w:eastAsia="黑体" w:cs="Times New Roman"/>
          <w:sz w:val="32"/>
          <w:szCs w:val="32"/>
        </w:rPr>
        <w:t>四、耳穴压丸作用机制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《灵枢·素问》曰“耳者宗脉之所聚也”，意为耳与五脏六腑、全身组织器官的生理功能和病理变化有直接或间接的联系，具有调节经络及脏腑气血的功能，在各学科的疾病治疗与预防中都取得了显著疗效。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hint="eastAsia" w:ascii="黑体" w:hAnsi="黑体" w:eastAsia="黑体" w:cs="Times New Roman"/>
          <w:sz w:val="32"/>
          <w:szCs w:val="32"/>
        </w:rPr>
      </w:pP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现代研究认为，耳穴以全息生物论和神经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  <w:lang w:eastAsia="zh-CN"/>
        </w:rPr>
        <w:t>－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体液的调节作用为理论基础。全息生物论将耳看作一个全息胚，耳穴是分布于耳廓上的腧穴，是全身各脏腑、器官生命信息的反应点，通过按压、针刺等方式刺激这些点，使得神经冲动上、下行传导，可以直接或间接地起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到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调节作用，提高视力。此外，耳廓皮下分布着丰富的神经、血管和淋巴管，刺激耳穴可调节神经功能，改善全身微循环，增强机体免疫功能。</w:t>
      </w:r>
      <w:r>
        <w:rPr>
          <w:rStyle w:val="11"/>
          <w:rFonts w:hint="eastAsia" w:ascii="仿宋_GB2312" w:hAnsi="仿宋_GB2312" w:eastAsia="仿宋_GB2312" w:cs="Times New Roman"/>
          <w:sz w:val="32"/>
          <w:szCs w:val="32"/>
        </w:rPr>
        <w:t>现代医学研究证实，耳穴压丸能够放松痉挛疲劳的睫状肌和眼外肌，缓解视疲劳。耳穴压丸在预防近视发生、控制度数进展、改善调节功能、延缓眼轴增长等方面疗效较为确切。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ascii="黑体" w:hAnsi="黑体" w:eastAsia="黑体" w:cs="Times New Roman"/>
          <w:sz w:val="32"/>
          <w:szCs w:val="32"/>
        </w:rPr>
      </w:pPr>
      <w:r>
        <w:rPr>
          <w:rStyle w:val="11"/>
          <w:rFonts w:hint="eastAsia" w:ascii="黑体" w:hAnsi="黑体" w:eastAsia="黑体" w:cs="Times New Roman"/>
          <w:sz w:val="32"/>
          <w:szCs w:val="32"/>
        </w:rPr>
        <w:t>五</w:t>
      </w:r>
      <w:r>
        <w:rPr>
          <w:rStyle w:val="11"/>
          <w:rFonts w:ascii="黑体" w:hAnsi="黑体" w:eastAsia="黑体" w:cs="Times New Roman"/>
          <w:sz w:val="32"/>
          <w:szCs w:val="32"/>
        </w:rPr>
        <w:t>、筛查建档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baseline"/>
        <w:rPr>
          <w:rStyle w:val="11"/>
          <w:rFonts w:hint="eastAsia" w:ascii="仿宋_GB2312" w:hAnsi="仿宋_GB2312" w:eastAsia="楷体_GB2312" w:cs="仿宋_GB2312"/>
          <w:b/>
          <w:bCs/>
          <w:color w:val="000000"/>
          <w:sz w:val="32"/>
          <w:szCs w:val="32"/>
        </w:rPr>
      </w:pPr>
      <w:r>
        <w:rPr>
          <w:rStyle w:val="11"/>
          <w:rFonts w:ascii="楷体_GB2312" w:hAnsi="楷体_GB2312" w:eastAsia="楷体_GB2312" w:cs="Times New Roman"/>
          <w:b/>
          <w:bCs/>
          <w:kern w:val="0"/>
          <w:sz w:val="32"/>
          <w:szCs w:val="32"/>
        </w:rPr>
        <w:t>（</w:t>
      </w:r>
      <w:r>
        <w:rPr>
          <w:rStyle w:val="11"/>
          <w:rFonts w:hint="eastAsia" w:ascii="楷体_GB2312" w:hAnsi="楷体_GB2312" w:eastAsia="楷体_GB2312" w:cs="Times New Roman"/>
          <w:b/>
          <w:bCs/>
          <w:kern w:val="0"/>
          <w:sz w:val="32"/>
          <w:szCs w:val="32"/>
        </w:rPr>
        <w:t>一</w:t>
      </w:r>
      <w:r>
        <w:rPr>
          <w:rStyle w:val="11"/>
          <w:rFonts w:ascii="楷体_GB2312" w:hAnsi="楷体_GB2312" w:eastAsia="楷体_GB2312" w:cs="Times New Roman"/>
          <w:b/>
          <w:bCs/>
          <w:kern w:val="0"/>
          <w:sz w:val="32"/>
          <w:szCs w:val="32"/>
        </w:rPr>
        <w:t>）诊断标准及纳排标准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baseline"/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ascii="仿宋_GB2312" w:hAnsi="仿宋_GB2312" w:eastAsia="仿宋_GB2312" w:cs="仿宋_GB2312"/>
          <w:b/>
          <w:bCs/>
          <w:color w:val="000000"/>
          <w:sz w:val="32"/>
          <w:szCs w:val="32"/>
        </w:rPr>
        <w:t>近视诊断标准：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Style w:val="11"/>
          <w:rFonts w:hint="eastAsia" w:ascii="仿宋" w:hAnsi="仿宋" w:eastAsia="仿宋" w:cs="仿宋"/>
          <w:color w:val="000000"/>
          <w:sz w:val="32"/>
          <w:szCs w:val="32"/>
        </w:rPr>
        <w:t>1.近视力正常，裸眼远视力低于1.0，但能用负球镜矫正。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Style w:val="11"/>
          <w:rFonts w:hint="eastAsia" w:ascii="仿宋" w:hAnsi="仿宋" w:eastAsia="仿宋" w:cs="仿宋"/>
          <w:color w:val="000000"/>
          <w:sz w:val="32"/>
          <w:szCs w:val="32"/>
        </w:rPr>
        <w:t>2.儿童青少年裸眼视力在短期内下降，休息后视力又有提高，使用睫状肌麻痹剂近视屈光度数消失，呈现正视力或远视状态，为假性近视。</w:t>
      </w:r>
    </w:p>
    <w:p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Style w:val="11"/>
          <w:rFonts w:hint="eastAsia" w:ascii="仿宋" w:hAnsi="仿宋" w:eastAsia="仿宋" w:cs="仿宋"/>
          <w:color w:val="000000"/>
          <w:sz w:val="32"/>
          <w:szCs w:val="32"/>
        </w:rPr>
        <w:t>3.-3.00D≤SE＜-0.50D为轻度近视。</w:t>
      </w:r>
    </w:p>
    <w:p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Style w:val="11"/>
          <w:rFonts w:hint="eastAsia" w:ascii="仿宋" w:hAnsi="仿宋" w:eastAsia="仿宋" w:cs="仿宋"/>
          <w:color w:val="000000"/>
          <w:sz w:val="32"/>
          <w:szCs w:val="32"/>
        </w:rPr>
        <w:t>4.-6.00D≤SE＜-3.00D为中度近视。</w:t>
      </w:r>
    </w:p>
    <w:p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Style w:val="11"/>
          <w:rFonts w:hint="eastAsia" w:ascii="仿宋" w:hAnsi="仿宋" w:eastAsia="仿宋" w:cs="仿宋"/>
          <w:color w:val="000000"/>
          <w:sz w:val="32"/>
          <w:szCs w:val="32"/>
        </w:rPr>
        <w:t>5.SE＜-6.00D为高度近视。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Style w:val="11"/>
          <w:rFonts w:hint="eastAsia" w:ascii="仿宋_GB2312" w:hAnsi="仿宋_GB2312" w:eastAsia="仿宋_GB2312" w:cs="仿宋_GB2312"/>
          <w:kern w:val="0"/>
          <w:sz w:val="32"/>
          <w:szCs w:val="32"/>
        </w:rPr>
        <w:t>干预人群：</w:t>
      </w:r>
      <w:r>
        <w:rPr>
          <w:rStyle w:val="11"/>
          <w:rFonts w:ascii="仿宋_GB2312" w:hAnsi="仿宋_GB2312" w:eastAsia="仿宋_GB2312" w:cs="Times New Roman"/>
          <w:sz w:val="32"/>
          <w:szCs w:val="32"/>
        </w:rPr>
        <w:t>筛查后确诊为</w:t>
      </w:r>
      <w:r>
        <w:rPr>
          <w:rStyle w:val="11"/>
          <w:rFonts w:hint="eastAsia" w:ascii="仿宋_GB2312" w:hAnsi="仿宋_GB2312" w:eastAsia="仿宋_GB2312" w:cs="Times New Roman"/>
          <w:sz w:val="32"/>
          <w:szCs w:val="32"/>
        </w:rPr>
        <w:t>近视前期</w:t>
      </w:r>
      <w:r>
        <w:rPr>
          <w:rStyle w:val="11"/>
          <w:rFonts w:ascii="仿宋_GB2312" w:hAnsi="仿宋_GB2312" w:eastAsia="仿宋_GB2312" w:cs="Times New Roman"/>
          <w:sz w:val="32"/>
          <w:szCs w:val="32"/>
        </w:rPr>
        <w:t>或轻、中度近视</w:t>
      </w:r>
      <w:r>
        <w:rPr>
          <w:rStyle w:val="11"/>
          <w:rFonts w:hint="eastAsia" w:ascii="仿宋_GB2312" w:hAnsi="仿宋_GB2312" w:eastAsia="仿宋_GB2312" w:cs="Times New Roman"/>
          <w:sz w:val="32"/>
          <w:szCs w:val="32"/>
        </w:rPr>
        <w:t>的</w:t>
      </w:r>
      <w:r>
        <w:rPr>
          <w:rStyle w:val="11"/>
          <w:rFonts w:ascii="仿宋_GB2312" w:hAnsi="仿宋_GB2312" w:eastAsia="仿宋_GB2312" w:cs="Times New Roman"/>
          <w:sz w:val="32"/>
          <w:szCs w:val="32"/>
        </w:rPr>
        <w:t>6</w:t>
      </w:r>
      <w:r>
        <w:rPr>
          <w:rStyle w:val="11"/>
          <w:rFonts w:hint="eastAsia" w:ascii="仿宋_GB2312" w:hAnsi="仿宋_GB2312" w:eastAsia="仿宋_GB2312" w:cs="Times New Roman"/>
          <w:sz w:val="32"/>
          <w:szCs w:val="32"/>
          <w:lang w:eastAsia="zh-CN"/>
        </w:rPr>
        <w:t>－</w:t>
      </w:r>
      <w:r>
        <w:rPr>
          <w:rStyle w:val="11"/>
          <w:rFonts w:ascii="仿宋_GB2312" w:hAnsi="仿宋_GB2312" w:eastAsia="仿宋_GB2312" w:cs="Times New Roman"/>
          <w:sz w:val="32"/>
          <w:szCs w:val="32"/>
        </w:rPr>
        <w:t>12岁</w:t>
      </w:r>
      <w:r>
        <w:rPr>
          <w:rStyle w:val="11"/>
          <w:rFonts w:hint="eastAsia" w:ascii="仿宋_GB2312" w:hAnsi="仿宋_GB2312" w:eastAsia="仿宋_GB2312" w:cs="Times New Roman"/>
          <w:sz w:val="32"/>
          <w:szCs w:val="32"/>
        </w:rPr>
        <w:t>儿童青少年；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裸眼视力正常，屈光状态虽未达到近视标准，但偏离相应年龄段生理值范围，</w:t>
      </w:r>
      <w:r>
        <w:rPr>
          <w:rStyle w:val="11"/>
          <w:rFonts w:ascii="仿宋_GB2312" w:hAnsi="仿宋_GB2312" w:eastAsia="仿宋_GB2312" w:cs="Times New Roman"/>
          <w:sz w:val="32"/>
          <w:szCs w:val="32"/>
        </w:rPr>
        <w:t>怀疑远视储备不足有近视高危因素</w:t>
      </w:r>
      <w:r>
        <w:rPr>
          <w:rStyle w:val="11"/>
          <w:rFonts w:hint="eastAsia" w:ascii="仿宋_GB2312" w:hAnsi="仿宋_GB2312" w:eastAsia="仿宋_GB2312" w:cs="Times New Roman"/>
          <w:sz w:val="32"/>
          <w:szCs w:val="32"/>
        </w:rPr>
        <w:t>的</w:t>
      </w:r>
      <w:r>
        <w:rPr>
          <w:rStyle w:val="11"/>
          <w:rFonts w:ascii="仿宋_GB2312" w:hAnsi="仿宋_GB2312" w:eastAsia="仿宋_GB2312" w:cs="Times New Roman"/>
          <w:sz w:val="32"/>
          <w:szCs w:val="32"/>
        </w:rPr>
        <w:t>6</w:t>
      </w:r>
      <w:r>
        <w:rPr>
          <w:rStyle w:val="11"/>
          <w:rFonts w:hint="eastAsia" w:ascii="仿宋_GB2312" w:hAnsi="仿宋_GB2312" w:eastAsia="仿宋_GB2312" w:cs="Times New Roman"/>
          <w:sz w:val="32"/>
          <w:szCs w:val="32"/>
          <w:lang w:eastAsia="zh-CN"/>
        </w:rPr>
        <w:t>－</w:t>
      </w:r>
      <w:r>
        <w:rPr>
          <w:rStyle w:val="11"/>
          <w:rFonts w:ascii="仿宋_GB2312" w:hAnsi="仿宋_GB2312" w:eastAsia="仿宋_GB2312" w:cs="Times New Roman"/>
          <w:sz w:val="32"/>
          <w:szCs w:val="32"/>
        </w:rPr>
        <w:t>12岁</w:t>
      </w:r>
      <w:r>
        <w:rPr>
          <w:rStyle w:val="11"/>
          <w:rFonts w:hint="eastAsia" w:ascii="仿宋_GB2312" w:hAnsi="仿宋_GB2312" w:eastAsia="仿宋_GB2312" w:cs="Times New Roman"/>
          <w:sz w:val="32"/>
          <w:szCs w:val="32"/>
        </w:rPr>
        <w:t>儿童青少年。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baseline"/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ascii="仿宋_GB2312" w:hAnsi="仿宋_GB2312" w:eastAsia="仿宋_GB2312" w:cs="仿宋_GB2312"/>
          <w:b/>
          <w:bCs/>
          <w:color w:val="000000"/>
          <w:sz w:val="32"/>
          <w:szCs w:val="32"/>
        </w:rPr>
        <w:t>纳入标准：</w:t>
      </w:r>
    </w:p>
    <w:p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1.等效球镜度数：SE≥-6.00D。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2.年龄：6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  <w:lang w:eastAsia="zh-CN"/>
        </w:rPr>
        <w:t>－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12岁。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3.双眼柱镜度均≤1.50D。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4.双眼无影响视力的其它器质性病变。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baseline"/>
        <w:rPr>
          <w:rStyle w:val="11"/>
          <w:rFonts w:ascii="Times New Roman" w:hAnsi="Times New Roman" w:eastAsia="宋体" w:cs="Times New Roman"/>
          <w:b/>
          <w:bCs/>
          <w:color w:val="000000"/>
          <w:sz w:val="32"/>
          <w:szCs w:val="32"/>
        </w:rPr>
      </w:pPr>
      <w:r>
        <w:rPr>
          <w:rStyle w:val="11"/>
          <w:rFonts w:ascii="仿宋_GB2312" w:hAnsi="仿宋_GB2312" w:eastAsia="仿宋_GB2312" w:cs="仿宋_GB2312"/>
          <w:b/>
          <w:bCs/>
          <w:color w:val="000000"/>
          <w:sz w:val="32"/>
          <w:szCs w:val="32"/>
        </w:rPr>
        <w:t>排除标准：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1.影响视力的其他眼部疾病。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2.严重的全身疾病。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3.父母有一方或双方，单眼或双眼有病理性近视者。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4.明确对胶布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及王不留行籽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过敏。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5.其他因素导致不能配合检查及干预措施的。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baseline"/>
        <w:rPr>
          <w:rStyle w:val="11"/>
          <w:rFonts w:ascii="仿宋_GB2312" w:hAnsi="仿宋_GB2312" w:eastAsia="仿宋_GB2312" w:cs="Times New Roman"/>
          <w:color w:val="FF0000"/>
          <w:kern w:val="0"/>
          <w:sz w:val="32"/>
          <w:szCs w:val="32"/>
        </w:rPr>
      </w:pPr>
      <w:r>
        <w:rPr>
          <w:rStyle w:val="11"/>
          <w:rFonts w:ascii="楷体_GB2312" w:hAnsi="楷体_GB2312" w:eastAsia="楷体_GB2312" w:cs="Times New Roman"/>
          <w:b/>
          <w:bCs/>
          <w:kern w:val="0"/>
          <w:sz w:val="32"/>
          <w:szCs w:val="32"/>
        </w:rPr>
        <w:t>（</w:t>
      </w:r>
      <w:r>
        <w:rPr>
          <w:rStyle w:val="11"/>
          <w:rFonts w:hint="eastAsia" w:ascii="楷体_GB2312" w:hAnsi="楷体_GB2312" w:eastAsia="楷体_GB2312" w:cs="Times New Roman"/>
          <w:b/>
          <w:bCs/>
          <w:kern w:val="0"/>
          <w:sz w:val="32"/>
          <w:szCs w:val="32"/>
        </w:rPr>
        <w:t>二</w:t>
      </w:r>
      <w:r>
        <w:rPr>
          <w:rStyle w:val="11"/>
          <w:rFonts w:ascii="楷体_GB2312" w:hAnsi="楷体_GB2312" w:eastAsia="楷体_GB2312" w:cs="Times New Roman"/>
          <w:b/>
          <w:bCs/>
          <w:kern w:val="0"/>
          <w:sz w:val="32"/>
          <w:szCs w:val="32"/>
        </w:rPr>
        <w:t>）视觉筛查。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对6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  <w:lang w:eastAsia="zh-CN"/>
        </w:rPr>
        <w:t>－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12岁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儿童青少年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进行定期视力筛查，早期筛查发现近视及其他屈光不正等眼病，</w:t>
      </w:r>
      <w:r>
        <w:rPr>
          <w:rStyle w:val="11"/>
          <w:rFonts w:ascii="仿宋_GB2312" w:hAnsi="仿宋_GB2312" w:eastAsia="仿宋_GB2312" w:cs="Times New Roman"/>
          <w:color w:val="000000"/>
          <w:kern w:val="0"/>
          <w:sz w:val="32"/>
          <w:szCs w:val="32"/>
        </w:rPr>
        <w:t>每年</w:t>
      </w:r>
      <w:r>
        <w:rPr>
          <w:rStyle w:val="11"/>
          <w:rFonts w:hint="eastAsia" w:ascii="仿宋_GB2312" w:hAnsi="仿宋_GB2312" w:eastAsia="仿宋_GB2312" w:cs="Times New Roman"/>
          <w:color w:val="000000"/>
          <w:kern w:val="0"/>
          <w:sz w:val="32"/>
          <w:szCs w:val="32"/>
        </w:rPr>
        <w:t>至少</w:t>
      </w:r>
      <w:r>
        <w:rPr>
          <w:rStyle w:val="11"/>
          <w:rFonts w:ascii="仿宋_GB2312" w:hAnsi="仿宋_GB2312" w:eastAsia="仿宋_GB2312" w:cs="Times New Roman"/>
          <w:color w:val="000000"/>
          <w:kern w:val="0"/>
          <w:sz w:val="32"/>
          <w:szCs w:val="32"/>
        </w:rPr>
        <w:t>2次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。筛查基本内容包括裸眼视力、</w:t>
      </w:r>
      <w:r>
        <w:rPr>
          <w:rStyle w:val="11"/>
          <w:rFonts w:ascii="仿宋_GB2312" w:hAnsi="仿宋_GB2312" w:eastAsia="仿宋_GB2312" w:cs="Times New Roman"/>
          <w:color w:val="000000"/>
          <w:kern w:val="0"/>
          <w:sz w:val="32"/>
          <w:szCs w:val="32"/>
        </w:rPr>
        <w:t>非睫状肌麻痹下屈光状态及睫状肌麻痹下屈光状态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，眼轴、角膜曲率。视力筛查应采用《GB11533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  <w:lang w:eastAsia="zh-CN"/>
        </w:rPr>
        <w:t>－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2011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标准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对数视力表》</w:t>
      </w:r>
      <w:r>
        <w:rPr>
          <w:rStyle w:val="11"/>
          <w:rFonts w:ascii="仿宋_GB2312" w:hAnsi="仿宋_GB2312" w:eastAsia="仿宋_GB2312" w:cs="Times New Roman"/>
          <w:color w:val="000000"/>
          <w:kern w:val="0"/>
          <w:sz w:val="32"/>
          <w:szCs w:val="32"/>
        </w:rPr>
        <w:t>，</w:t>
      </w:r>
      <w:r>
        <w:rPr>
          <w:rStyle w:val="11"/>
          <w:rFonts w:hint="eastAsia" w:ascii="仿宋_GB2312" w:hAnsi="仿宋_GB2312" w:eastAsia="仿宋_GB2312" w:cs="Times New Roman"/>
          <w:color w:val="000000"/>
          <w:kern w:val="0"/>
          <w:sz w:val="32"/>
          <w:szCs w:val="32"/>
        </w:rPr>
        <w:t>采用</w:t>
      </w:r>
      <w:r>
        <w:rPr>
          <w:rStyle w:val="11"/>
          <w:rFonts w:ascii="仿宋_GB2312" w:hAnsi="仿宋_GB2312" w:eastAsia="仿宋_GB2312" w:cs="Times New Roman"/>
          <w:color w:val="000000"/>
          <w:kern w:val="0"/>
          <w:sz w:val="32"/>
          <w:szCs w:val="32"/>
        </w:rPr>
        <w:t>5</w:t>
      </w:r>
      <w:r>
        <w:rPr>
          <w:rStyle w:val="11"/>
          <w:rFonts w:hint="eastAsia" w:ascii="仿宋_GB2312" w:hAnsi="仿宋_GB2312" w:eastAsia="仿宋_GB2312" w:cs="Times New Roman"/>
          <w:color w:val="000000"/>
          <w:kern w:val="0"/>
          <w:sz w:val="32"/>
          <w:szCs w:val="32"/>
        </w:rPr>
        <w:t>分法记录，</w:t>
      </w:r>
      <w:r>
        <w:rPr>
          <w:rStyle w:val="11"/>
          <w:rFonts w:ascii="仿宋_GB2312" w:hAnsi="仿宋_GB2312" w:eastAsia="仿宋_GB2312" w:cs="Times New Roman"/>
          <w:color w:val="000000"/>
          <w:kern w:val="0"/>
          <w:sz w:val="32"/>
          <w:szCs w:val="32"/>
        </w:rPr>
        <w:t>睫状肌麻痹剂尽量选用1%环喷托酯滴眼液。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baseline"/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</w:pPr>
      <w:r>
        <w:rPr>
          <w:rStyle w:val="11"/>
          <w:rFonts w:ascii="楷体_GB2312" w:hAnsi="楷体_GB2312" w:eastAsia="楷体_GB2312" w:cs="Times New Roman"/>
          <w:b/>
          <w:bCs/>
          <w:kern w:val="0"/>
          <w:sz w:val="32"/>
          <w:szCs w:val="32"/>
        </w:rPr>
        <w:t>（</w:t>
      </w:r>
      <w:r>
        <w:rPr>
          <w:rStyle w:val="11"/>
          <w:rFonts w:hint="eastAsia" w:ascii="楷体_GB2312" w:hAnsi="楷体_GB2312" w:eastAsia="楷体_GB2312" w:cs="Times New Roman"/>
          <w:b/>
          <w:bCs/>
          <w:kern w:val="0"/>
          <w:sz w:val="32"/>
          <w:szCs w:val="32"/>
        </w:rPr>
        <w:t>三</w:t>
      </w:r>
      <w:r>
        <w:rPr>
          <w:rStyle w:val="11"/>
          <w:rFonts w:ascii="楷体_GB2312" w:hAnsi="楷体_GB2312" w:eastAsia="楷体_GB2312" w:cs="Times New Roman"/>
          <w:b/>
          <w:bCs/>
          <w:kern w:val="0"/>
          <w:sz w:val="32"/>
          <w:szCs w:val="32"/>
        </w:rPr>
        <w:t>）动态更新档案。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依据《儿童青少年近视普查工作流程专家共识（2019）》相关内容建立个人眼健康档案，采集视觉健康数据，规范记录检查内容（</w:t>
      </w:r>
      <w:r>
        <w:rPr>
          <w:rStyle w:val="11"/>
          <w:rFonts w:hint="eastAsia" w:ascii="楷体_GB2312" w:hAnsi="楷体_GB2312" w:eastAsia="楷体_GB2312" w:cs="Times New Roman"/>
          <w:kern w:val="0"/>
          <w:sz w:val="32"/>
          <w:szCs w:val="32"/>
          <w:lang w:val="en-US" w:eastAsia="zh-CN"/>
        </w:rPr>
        <w:t>见附表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）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，如已建立档案，可在基层医疗卫生机构的视力健康电子档案基础上动态更新内容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baseline"/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ascii="楷体_GB2312" w:hAnsi="楷体_GB2312" w:eastAsia="楷体_GB2312" w:cs="Times New Roman"/>
          <w:b/>
          <w:bCs/>
          <w:kern w:val="0"/>
          <w:sz w:val="32"/>
          <w:szCs w:val="32"/>
        </w:rPr>
        <w:t>（</w:t>
      </w:r>
      <w:r>
        <w:rPr>
          <w:rStyle w:val="11"/>
          <w:rFonts w:hint="eastAsia" w:ascii="楷体_GB2312" w:hAnsi="楷体_GB2312" w:eastAsia="楷体_GB2312" w:cs="Times New Roman"/>
          <w:b/>
          <w:bCs/>
          <w:kern w:val="0"/>
          <w:sz w:val="32"/>
          <w:szCs w:val="32"/>
        </w:rPr>
        <w:t>四</w:t>
      </w:r>
      <w:r>
        <w:rPr>
          <w:rStyle w:val="11"/>
          <w:rFonts w:ascii="楷体_GB2312" w:hAnsi="楷体_GB2312" w:eastAsia="楷体_GB2312" w:cs="Times New Roman"/>
          <w:b/>
          <w:bCs/>
          <w:kern w:val="0"/>
          <w:sz w:val="32"/>
          <w:szCs w:val="32"/>
        </w:rPr>
        <w:t>）实时监测。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分析儿童青少年视力健康状况，视力健康档案要确保一人一档，随学籍变化实时转移，动态观察儿童青少年不同时期屈光变化，</w:t>
      </w:r>
      <w:r>
        <w:rPr>
          <w:rStyle w:val="11"/>
          <w:rFonts w:ascii="仿宋_GB2312" w:hAnsi="仿宋_GB2312" w:eastAsia="仿宋_GB2312" w:cs="Times New Roman"/>
          <w:color w:val="000000"/>
          <w:kern w:val="0"/>
          <w:sz w:val="32"/>
          <w:szCs w:val="32"/>
        </w:rPr>
        <w:t>对怀疑远视储备不足</w:t>
      </w:r>
      <w:r>
        <w:rPr>
          <w:rStyle w:val="11"/>
          <w:rFonts w:hint="eastAsia" w:ascii="仿宋_GB2312" w:hAnsi="仿宋_GB2312" w:eastAsia="仿宋_GB2312" w:cs="Times New Roman"/>
          <w:color w:val="000000"/>
          <w:kern w:val="0"/>
          <w:sz w:val="32"/>
          <w:szCs w:val="32"/>
        </w:rPr>
        <w:t>（裸眼视力正常，屈光状态虽未达到近视标准，但偏离相应年龄段生理值范围）</w:t>
      </w:r>
      <w:r>
        <w:rPr>
          <w:rStyle w:val="11"/>
          <w:rFonts w:ascii="仿宋_GB2312" w:hAnsi="仿宋_GB2312" w:eastAsia="仿宋_GB2312" w:cs="Times New Roman"/>
          <w:color w:val="000000"/>
          <w:kern w:val="0"/>
          <w:sz w:val="32"/>
          <w:szCs w:val="32"/>
        </w:rPr>
        <w:t>者</w:t>
      </w:r>
      <w:r>
        <w:rPr>
          <w:rStyle w:val="11"/>
          <w:rFonts w:hint="eastAsia" w:ascii="仿宋_GB2312" w:hAnsi="仿宋_GB2312" w:eastAsia="仿宋_GB2312" w:cs="Times New Roman"/>
          <w:color w:val="000000"/>
          <w:kern w:val="0"/>
          <w:sz w:val="32"/>
          <w:szCs w:val="32"/>
        </w:rPr>
        <w:t>应尽早制定干预措施</w:t>
      </w:r>
      <w:r>
        <w:rPr>
          <w:rStyle w:val="11"/>
          <w:rFonts w:ascii="仿宋_GB2312" w:hAnsi="仿宋_GB2312" w:eastAsia="仿宋_GB2312" w:cs="Times New Roman"/>
          <w:color w:val="000000"/>
          <w:kern w:val="0"/>
          <w:sz w:val="32"/>
          <w:szCs w:val="32"/>
        </w:rPr>
        <w:t>，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控制近视形成及进展。</w:t>
      </w:r>
    </w:p>
    <w:p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ascii="黑体" w:hAnsi="黑体" w:eastAsia="黑体" w:cs="Times New Roman"/>
          <w:sz w:val="32"/>
          <w:szCs w:val="32"/>
        </w:rPr>
      </w:pPr>
      <w:r>
        <w:rPr>
          <w:rStyle w:val="11"/>
          <w:rFonts w:hint="eastAsia" w:ascii="黑体" w:hAnsi="黑体" w:eastAsia="黑体" w:cs="Times New Roman"/>
          <w:sz w:val="32"/>
          <w:szCs w:val="32"/>
        </w:rPr>
        <w:t>六、</w:t>
      </w:r>
      <w:r>
        <w:rPr>
          <w:rStyle w:val="11"/>
          <w:rFonts w:ascii="黑体" w:hAnsi="黑体" w:eastAsia="黑体" w:cs="Times New Roman"/>
          <w:sz w:val="32"/>
          <w:szCs w:val="32"/>
        </w:rPr>
        <w:t>操作规范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5" w:firstLineChars="176"/>
        <w:jc w:val="both"/>
        <w:textAlignment w:val="baseline"/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ascii="仿宋_GB2312" w:hAnsi="仿宋_GB2312" w:eastAsia="仿宋_GB2312" w:cs="仿宋_GB2312"/>
          <w:b/>
          <w:bCs/>
          <w:color w:val="000000"/>
          <w:sz w:val="32"/>
          <w:szCs w:val="32"/>
        </w:rPr>
        <w:t>1.材料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：王不留行籽。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5" w:firstLineChars="176"/>
        <w:jc w:val="both"/>
        <w:textAlignment w:val="baseline"/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ascii="仿宋_GB2312" w:hAnsi="仿宋_GB2312" w:eastAsia="仿宋_GB2312" w:cs="仿宋_GB2312"/>
          <w:b/>
          <w:bCs/>
          <w:color w:val="000000"/>
          <w:sz w:val="32"/>
          <w:szCs w:val="32"/>
        </w:rPr>
        <w:t>2.取穴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：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（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单耳操作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）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3" w:firstLineChars="176"/>
        <w:jc w:val="both"/>
        <w:textAlignment w:val="baseline"/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主穴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：肝、脾、心、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肾穴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。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配穴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：眼、目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1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、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目2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、神门穴，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以上穴位任选1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  <w:lang w:eastAsia="zh-CN"/>
        </w:rPr>
        <w:t>－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2穴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。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baseline"/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1103630</wp:posOffset>
            </wp:positionH>
            <wp:positionV relativeFrom="paragraph">
              <wp:posOffset>506095</wp:posOffset>
            </wp:positionV>
            <wp:extent cx="3041015" cy="2224405"/>
            <wp:effectExtent l="0" t="0" r="6985" b="635"/>
            <wp:wrapTopAndBottom/>
            <wp:docPr id="1026" name="图片 2" descr="图片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2" descr="图片1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3041015" cy="222440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 xml:space="preserve">    示意图：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5" w:firstLineChars="176"/>
        <w:jc w:val="both"/>
        <w:textAlignment w:val="baseline"/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ascii="仿宋_GB2312" w:hAnsi="仿宋_GB2312" w:eastAsia="仿宋_GB2312" w:cs="仿宋_GB2312"/>
          <w:b/>
          <w:bCs/>
          <w:color w:val="000000"/>
          <w:sz w:val="32"/>
          <w:szCs w:val="32"/>
        </w:rPr>
        <w:t>3.操作规范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：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3" w:firstLineChars="176"/>
        <w:jc w:val="both"/>
        <w:textAlignment w:val="baseline"/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施术者操作前应严格洗手消毒并对受试区域消毒（75%酒精或1%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  <w:lang w:eastAsia="zh-CN"/>
        </w:rPr>
        <w:t>－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2%碘伏）；选择患者舒适、便于医者操作的治疗体位；将王不留行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籽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贴于小块胶布（0.5cm×0.5cm）中央，然后对准相应耳穴贴紧并稍加压力，使其耳朵感到酸麻胀或发热。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5" w:firstLineChars="176"/>
        <w:jc w:val="both"/>
        <w:textAlignment w:val="baseline"/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ascii="仿宋_GB2312" w:hAnsi="仿宋_GB2312" w:eastAsia="仿宋_GB2312" w:cs="仿宋_GB2312"/>
          <w:b/>
          <w:bCs/>
          <w:color w:val="000000"/>
          <w:sz w:val="32"/>
          <w:szCs w:val="32"/>
        </w:rPr>
        <w:t>4.疗程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：</w:t>
      </w:r>
    </w:p>
    <w:p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3" w:firstLineChars="176"/>
        <w:jc w:val="both"/>
        <w:textAlignment w:val="baseline"/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每周贴1次（贴后5天后取下，休息2天后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换一耳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再次贴上）。贴后每天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早、中、睡前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自行按压3次，每次10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  <w:lang w:eastAsia="zh-CN"/>
        </w:rPr>
        <w:t>－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20下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，使之产生酸、麻、痛、热的感觉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。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贴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4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周休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1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周为一疗程，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试点期内持续干预。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baseline"/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5.</w:t>
      </w:r>
      <w:r>
        <w:rPr>
          <w:rStyle w:val="11"/>
          <w:rFonts w:ascii="仿宋_GB2312" w:hAnsi="仿宋_GB2312" w:eastAsia="仿宋_GB2312" w:cs="仿宋_GB2312"/>
          <w:b/>
          <w:bCs/>
          <w:color w:val="000000"/>
          <w:sz w:val="32"/>
          <w:szCs w:val="32"/>
        </w:rPr>
        <w:t>注意事项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：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  <w:lang w:eastAsia="zh-CN"/>
        </w:rPr>
        <w:t>（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  <w:lang w:val="en-US" w:eastAsia="zh-CN"/>
        </w:rPr>
        <w:t>1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  <w:lang w:eastAsia="zh-CN"/>
        </w:rPr>
        <w:t>）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胶布不能潮湿，不能污染，尽量避水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，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如因出汗等压丸掉落，应及时更换耳穴压丸。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  <w:lang w:eastAsia="zh-CN"/>
        </w:rPr>
        <w:t>（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  <w:lang w:val="en-US" w:eastAsia="zh-CN"/>
        </w:rPr>
        <w:t>2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  <w:lang w:eastAsia="zh-CN"/>
        </w:rPr>
        <w:t>）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儿童皮肤娇嫩，按压力度适中，不宜过重。“心”穴敏感，贴前应提前告知。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  <w:lang w:eastAsia="zh-CN"/>
        </w:rPr>
        <w:t>（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  <w:lang w:val="en-US" w:eastAsia="zh-CN"/>
        </w:rPr>
        <w:t>3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  <w:lang w:eastAsia="zh-CN"/>
        </w:rPr>
        <w:t>）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如贴压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“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神门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”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穴出现不适症状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，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可更换以下任一穴位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：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目1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、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目2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、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眼穴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。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5" w:firstLineChars="176"/>
        <w:jc w:val="both"/>
        <w:textAlignment w:val="baseline"/>
        <w:rPr>
          <w:rStyle w:val="11"/>
          <w:rFonts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Style w:val="11"/>
          <w:rFonts w:ascii="仿宋_GB2312" w:hAnsi="仿宋_GB2312" w:eastAsia="仿宋_GB2312" w:cs="仿宋_GB2312"/>
          <w:b/>
          <w:bCs/>
          <w:color w:val="000000"/>
          <w:sz w:val="32"/>
          <w:szCs w:val="32"/>
        </w:rPr>
        <w:t>6.不良反应及处理：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3" w:firstLineChars="176"/>
        <w:jc w:val="both"/>
        <w:textAlignment w:val="baseline"/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  <w:lang w:eastAsia="zh-CN"/>
        </w:rPr>
        <w:t>（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  <w:lang w:val="en-US" w:eastAsia="zh-CN"/>
        </w:rPr>
        <w:t>1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  <w:lang w:eastAsia="zh-CN"/>
        </w:rPr>
        <w:t>）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如在耳穴压丸使用过程对胶带或使用材料过敏，请马上停止操作，去除过敏材料并给予抗过敏等对应治疗；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3" w:firstLineChars="176"/>
        <w:jc w:val="both"/>
        <w:textAlignment w:val="baseline"/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  <w:lang w:eastAsia="zh-CN"/>
        </w:rPr>
        <w:t>（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  <w:lang w:val="en-US" w:eastAsia="zh-CN"/>
        </w:rPr>
        <w:t>2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  <w:lang w:eastAsia="zh-CN"/>
        </w:rPr>
        <w:t>）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因操作不当导致局部感染：一旦出现与本技术操作相关的局部感染，应视感染情况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  <w:lang w:eastAsia="zh-CN"/>
        </w:rPr>
        <w:t>给予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相应治疗。如症状轻微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、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可忍受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，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不影响正常学习及生活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，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无需处理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；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如疼痛明显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，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出现轻微炎症反应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，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对日常生活及学习有一定的影响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，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应暂停治疗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，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注意休息，以减少疼痛及炎症扩散，勿挤压患部，适当应用消炎止痛等药物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，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症状消失后可继续进行治疗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；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如感染较重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，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出现局部溃脓或全身不适症状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，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应立即终止治疗并予排脓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、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消炎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、</w:t>
      </w:r>
      <w:r>
        <w:rPr>
          <w:rStyle w:val="11"/>
          <w:rFonts w:ascii="仿宋_GB2312" w:hAnsi="仿宋_GB2312" w:eastAsia="仿宋_GB2312" w:cs="Times New Roman"/>
          <w:color w:val="000000"/>
          <w:sz w:val="32"/>
          <w:szCs w:val="32"/>
        </w:rPr>
        <w:t>止痛等对症及支持治疗。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ascii="黑体" w:hAnsi="黑体" w:eastAsia="黑体" w:cs="Times New Roman"/>
          <w:sz w:val="32"/>
          <w:szCs w:val="32"/>
        </w:rPr>
      </w:pPr>
      <w:r>
        <w:rPr>
          <w:rStyle w:val="11"/>
          <w:rFonts w:hint="eastAsia" w:ascii="黑体" w:hAnsi="黑体" w:eastAsia="黑体" w:cs="Times New Roman"/>
          <w:sz w:val="32"/>
          <w:szCs w:val="32"/>
        </w:rPr>
        <w:t>七</w:t>
      </w:r>
      <w:r>
        <w:rPr>
          <w:rStyle w:val="11"/>
          <w:rFonts w:ascii="黑体" w:hAnsi="黑体" w:eastAsia="黑体" w:cs="Times New Roman"/>
          <w:sz w:val="32"/>
          <w:szCs w:val="32"/>
        </w:rPr>
        <w:t>、</w:t>
      </w:r>
      <w:r>
        <w:rPr>
          <w:rStyle w:val="11"/>
          <w:rFonts w:hint="eastAsia" w:ascii="黑体" w:hAnsi="黑体" w:eastAsia="黑体" w:cs="Times New Roman"/>
          <w:sz w:val="32"/>
          <w:szCs w:val="32"/>
        </w:rPr>
        <w:t>疗效评价指标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baseline"/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  <w:lang w:eastAsia="zh-CN"/>
        </w:rPr>
      </w:pPr>
      <w:r>
        <w:rPr>
          <w:rStyle w:val="11"/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  <w:t>（一）最佳裸眼远视力(logMAR视力)：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又称未矫正视力，指未经任何光学镜片矫正所测得的视力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baseline"/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  <w:lang w:eastAsia="zh-CN"/>
        </w:rPr>
      </w:pPr>
      <w:r>
        <w:rPr>
          <w:rStyle w:val="11"/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  <w:t>（二）等效球镜：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睫状肌麻痹前后，显然验光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baseline"/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</w:pPr>
      <w:r>
        <w:rPr>
          <w:rStyle w:val="11"/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  <w:t>（三）眼轴及角膜曲率：</w:t>
      </w:r>
      <w:r>
        <w:rPr>
          <w:rStyle w:val="11"/>
          <w:rFonts w:hint="eastAsia" w:ascii="仿宋_GB2312" w:hAnsi="仿宋_GB2312" w:eastAsia="仿宋_GB2312" w:cs="Times New Roman"/>
          <w:color w:val="000000"/>
          <w:sz w:val="32"/>
          <w:szCs w:val="32"/>
        </w:rPr>
        <w:t>建议应用IOL Master检测。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aseline"/>
        <w:rPr>
          <w:rStyle w:val="11"/>
          <w:rFonts w:ascii="黑体" w:hAnsi="黑体" w:eastAsia="黑体" w:cs="Times New Roman"/>
          <w:sz w:val="32"/>
          <w:szCs w:val="32"/>
        </w:rPr>
      </w:pPr>
      <w:r>
        <w:rPr>
          <w:rStyle w:val="11"/>
          <w:rFonts w:hint="eastAsia" w:ascii="黑体" w:hAnsi="黑体" w:eastAsia="黑体" w:cs="Times New Roman"/>
          <w:sz w:val="32"/>
          <w:szCs w:val="32"/>
        </w:rPr>
        <w:t>八</w:t>
      </w:r>
      <w:r>
        <w:rPr>
          <w:rStyle w:val="11"/>
          <w:rFonts w:ascii="黑体" w:hAnsi="黑体" w:eastAsia="黑体" w:cs="Times New Roman"/>
          <w:sz w:val="32"/>
          <w:szCs w:val="32"/>
        </w:rPr>
        <w:t>、</w:t>
      </w:r>
      <w:r>
        <w:rPr>
          <w:rStyle w:val="11"/>
          <w:rFonts w:hint="eastAsia" w:ascii="黑体" w:hAnsi="黑体" w:eastAsia="黑体" w:cs="Times New Roman"/>
          <w:sz w:val="32"/>
          <w:szCs w:val="32"/>
        </w:rPr>
        <w:t>养眼护眼科普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175"/>
        <w:jc w:val="both"/>
        <w:textAlignment w:val="baseline"/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</w:pP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医务人员、校医、学校教职工都应对用眼健康内容全面掌握并对儿童青少年、家长等进行积极宣教，培养儿童青少年养成良好用眼习惯，健康宣教内容应贯穿近视防控全过程。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175"/>
        <w:jc w:val="both"/>
        <w:textAlignment w:val="baseline"/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</w:pPr>
      <w:r>
        <w:rPr>
          <w:rStyle w:val="11"/>
          <w:rFonts w:ascii="楷体_GB2312" w:hAnsi="楷体_GB2312" w:eastAsia="楷体_GB2312" w:cs="Times New Roman"/>
          <w:b/>
          <w:bCs/>
          <w:kern w:val="0"/>
          <w:sz w:val="32"/>
          <w:szCs w:val="32"/>
        </w:rPr>
        <w:t>（一）基础知识指导。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近视防控的重要性，以及眼部结构、视力发育特点、危险因素等。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175"/>
        <w:jc w:val="both"/>
        <w:textAlignment w:val="baseline"/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</w:pPr>
      <w:r>
        <w:rPr>
          <w:rStyle w:val="11"/>
          <w:rFonts w:ascii="楷体_GB2312" w:hAnsi="楷体_GB2312" w:eastAsia="楷体_GB2312" w:cs="Times New Roman"/>
          <w:b/>
          <w:bCs/>
          <w:kern w:val="0"/>
          <w:sz w:val="32"/>
          <w:szCs w:val="32"/>
        </w:rPr>
        <w:t>（二）眼保健操指导。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坚持每天2次眼保健操，操作要按照八字方针“准确、足时、足量、持久”，即要穴位准确、手法正确、力度适当、坚持按摩。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175"/>
        <w:jc w:val="both"/>
        <w:textAlignment w:val="baseline"/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</w:pPr>
      <w:r>
        <w:rPr>
          <w:rStyle w:val="11"/>
          <w:rFonts w:ascii="楷体_GB2312" w:hAnsi="楷体_GB2312" w:eastAsia="楷体_GB2312" w:cs="Times New Roman"/>
          <w:b/>
          <w:bCs/>
          <w:kern w:val="0"/>
          <w:sz w:val="32"/>
          <w:szCs w:val="32"/>
        </w:rPr>
        <w:t>（三）读写姿势指导。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读书写字坚持“三个一”，不在走路、吃饭、卧床、晃动的车厢内、光线暗弱或阳光直射等情况下看书、写字、使用电子产品。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175"/>
        <w:jc w:val="both"/>
        <w:textAlignment w:val="baseline"/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</w:pPr>
      <w:r>
        <w:rPr>
          <w:rStyle w:val="11"/>
          <w:rFonts w:ascii="楷体_GB2312" w:hAnsi="楷体_GB2312" w:eastAsia="楷体_GB2312" w:cs="Times New Roman"/>
          <w:b/>
          <w:bCs/>
          <w:kern w:val="0"/>
          <w:sz w:val="32"/>
          <w:szCs w:val="32"/>
        </w:rPr>
        <w:t>（四）用眼行为指导。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避免用眼过劳，连续近距离用眼时间尽量控制在40分钟以内，</w:t>
      </w:r>
      <w:r>
        <w:rPr>
          <w:rStyle w:val="11"/>
          <w:rFonts w:ascii="仿宋_GB2312" w:hAnsi="仿宋_GB2312" w:eastAsia="仿宋_GB2312" w:cs="Times New Roman"/>
          <w:color w:val="000000"/>
          <w:kern w:val="0"/>
          <w:sz w:val="32"/>
          <w:szCs w:val="32"/>
        </w:rPr>
        <w:t>中间休息10分钟，远眺放松眼睛；严格控制使用电子产品的时间在30分钟以内。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baseline"/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</w:pPr>
      <w:r>
        <w:rPr>
          <w:rStyle w:val="11"/>
          <w:rFonts w:ascii="楷体_GB2312" w:hAnsi="楷体_GB2312" w:eastAsia="楷体_GB2312" w:cs="Times New Roman"/>
          <w:b/>
          <w:bCs/>
          <w:kern w:val="0"/>
          <w:sz w:val="32"/>
          <w:szCs w:val="32"/>
        </w:rPr>
        <w:t>（五）视觉环境指导。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读写应在采光良好、照明充足的环境中进行。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baseline"/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</w:pPr>
      <w:r>
        <w:rPr>
          <w:rStyle w:val="11"/>
          <w:rFonts w:ascii="楷体_GB2312" w:hAnsi="楷体_GB2312" w:eastAsia="楷体_GB2312" w:cs="Times New Roman"/>
          <w:b/>
          <w:bCs/>
          <w:kern w:val="0"/>
          <w:sz w:val="32"/>
          <w:szCs w:val="32"/>
        </w:rPr>
        <w:t>（六）生活习惯指导。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提供膳食安排营养建议，合理搭配，均衡饮食，少食肥甘厚腻之品，如油炸类、蛋糕等，多食益精明目之品；起居有常，规律作息，保证充足睡眠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，小学生每天不少于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10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小时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baseline"/>
        <w:rPr>
          <w:rStyle w:val="11"/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Style w:val="11"/>
          <w:rFonts w:ascii="楷体_GB2312" w:hAnsi="楷体_GB2312" w:eastAsia="楷体_GB2312" w:cs="Times New Roman"/>
          <w:b/>
          <w:bCs/>
          <w:kern w:val="0"/>
          <w:sz w:val="32"/>
          <w:szCs w:val="32"/>
        </w:rPr>
        <w:t>（七）户外运动指导。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督促儿童青少年开展户外活动，保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证每天</w:t>
      </w:r>
      <w:r>
        <w:rPr>
          <w:rStyle w:val="11"/>
          <w:rFonts w:hint="eastAsia" w:ascii="仿宋_GB2312" w:hAnsi="仿宋_GB2312" w:eastAsia="仿宋_GB2312" w:cs="Times New Roman"/>
          <w:kern w:val="0"/>
          <w:sz w:val="32"/>
          <w:szCs w:val="32"/>
        </w:rPr>
        <w:t>日间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户外活动</w:t>
      </w:r>
      <w:r>
        <w:rPr>
          <w:rStyle w:val="11"/>
          <w:rFonts w:ascii="仿宋_GB2312" w:hAnsi="仿宋_GB2312" w:eastAsia="仿宋_GB2312" w:cs="Times New Roman"/>
          <w:color w:val="000000"/>
          <w:kern w:val="0"/>
          <w:sz w:val="32"/>
          <w:szCs w:val="32"/>
        </w:rPr>
        <w:t>至少2小时</w:t>
      </w:r>
      <w:r>
        <w:rPr>
          <w:rStyle w:val="11"/>
          <w:rFonts w:hint="eastAsia" w:ascii="仿宋_GB2312" w:hAnsi="仿宋_GB2312" w:eastAsia="仿宋_GB2312" w:cs="Times New Roman"/>
          <w:color w:val="000000"/>
          <w:kern w:val="0"/>
          <w:sz w:val="32"/>
          <w:szCs w:val="32"/>
        </w:rPr>
        <w:t>，接触自然光时间不少于</w:t>
      </w:r>
      <w:r>
        <w:rPr>
          <w:rStyle w:val="11"/>
          <w:rFonts w:ascii="仿宋_GB2312" w:hAnsi="仿宋_GB2312" w:eastAsia="仿宋_GB2312" w:cs="Times New Roman"/>
          <w:color w:val="000000"/>
          <w:kern w:val="0"/>
          <w:sz w:val="32"/>
          <w:szCs w:val="32"/>
        </w:rPr>
        <w:t>1</w:t>
      </w:r>
      <w:r>
        <w:rPr>
          <w:rStyle w:val="11"/>
          <w:rFonts w:hint="eastAsia" w:ascii="仿宋_GB2312" w:hAnsi="仿宋_GB2312" w:eastAsia="仿宋_GB2312" w:cs="Times New Roman"/>
          <w:color w:val="000000"/>
          <w:kern w:val="0"/>
          <w:sz w:val="32"/>
          <w:szCs w:val="32"/>
        </w:rPr>
        <w:t>小时</w:t>
      </w:r>
      <w:r>
        <w:rPr>
          <w:rStyle w:val="11"/>
          <w:rFonts w:ascii="仿宋_GB2312" w:hAnsi="仿宋_GB2312" w:eastAsia="仿宋_GB2312" w:cs="Times New Roman"/>
          <w:kern w:val="0"/>
          <w:sz w:val="32"/>
          <w:szCs w:val="32"/>
        </w:rPr>
        <w:t>。</w:t>
      </w:r>
      <w:r>
        <w:rPr>
          <w:rFonts w:ascii="Calibri" w:hAnsi="Calibri" w:eastAsia="宋体" w:cs="Times New Roman"/>
          <w:b/>
          <w:i/>
          <w:caps/>
          <w:sz w:val="32"/>
          <w:szCs w:val="32"/>
        </w:rPr>
        <w:br w:type="page"/>
      </w:r>
      <w:r>
        <w:rPr>
          <w:rStyle w:val="11"/>
          <w:rFonts w:hint="eastAsia" w:ascii="仿宋" w:hAnsi="仿宋" w:eastAsia="仿宋" w:cs="仿宋"/>
          <w:color w:val="000000"/>
          <w:sz w:val="32"/>
          <w:szCs w:val="32"/>
        </w:rPr>
        <w:t>附</w:t>
      </w:r>
      <w:r>
        <w:rPr>
          <w:rStyle w:val="11"/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表</w:t>
      </w:r>
      <w:r>
        <w:rPr>
          <w:rStyle w:val="11"/>
          <w:rFonts w:hint="eastAsia" w:ascii="仿宋" w:hAnsi="仿宋" w:eastAsia="仿宋" w:cs="仿宋"/>
          <w:color w:val="000000"/>
          <w:sz w:val="32"/>
          <w:szCs w:val="32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Style w:val="11"/>
          <w:rFonts w:hint="eastAsia" w:ascii="方正公文小标宋" w:hAnsi="方正公文小标宋" w:eastAsia="方正公文小标宋" w:cs="方正公文小标宋"/>
          <w:color w:val="000000"/>
          <w:sz w:val="32"/>
          <w:szCs w:val="32"/>
          <w:lang w:val="en-US" w:eastAsia="zh-CN"/>
        </w:rPr>
      </w:pPr>
      <w:r>
        <w:rPr>
          <w:rStyle w:val="11"/>
          <w:rFonts w:hint="eastAsia" w:ascii="方正公文小标宋" w:hAnsi="方正公文小标宋" w:eastAsia="方正公文小标宋" w:cs="方正公文小标宋"/>
          <w:color w:val="000000"/>
          <w:sz w:val="32"/>
          <w:szCs w:val="32"/>
          <w:lang w:val="en-US" w:eastAsia="zh-CN"/>
        </w:rPr>
        <w:t>贺兰县</w:t>
      </w:r>
      <w:r>
        <w:rPr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开展中医适宜技术防控儿童青少年近视</w:t>
      </w:r>
      <w:r>
        <w:rPr>
          <w:rStyle w:val="11"/>
          <w:rFonts w:hint="eastAsia" w:ascii="方正公文小标宋" w:hAnsi="方正公文小标宋" w:eastAsia="方正公文小标宋" w:cs="方正公文小标宋"/>
          <w:color w:val="000000"/>
          <w:sz w:val="32"/>
          <w:szCs w:val="32"/>
          <w:lang w:val="en-US" w:eastAsia="zh-CN"/>
        </w:rPr>
        <w:t>检查表</w:t>
      </w:r>
    </w:p>
    <w:tbl>
      <w:tblPr>
        <w:tblStyle w:val="8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1" w:hRule="atLeast"/>
          <w:jc w:val="center"/>
        </w:trPr>
        <w:tc>
          <w:tcPr>
            <w:tcW w:w="9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baseline"/>
              <w:rPr>
                <w:rStyle w:val="11"/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Style w:val="11"/>
                <w:rFonts w:hint="eastAsia" w:ascii="仿宋_GB2312" w:hAnsi="仿宋_GB2312" w:eastAsia="仿宋_GB2312" w:cs="仿宋_GB2312"/>
                <w:sz w:val="32"/>
                <w:szCs w:val="32"/>
              </w:rPr>
              <w:t>教育ID号：</w:t>
            </w:r>
            <w:r>
              <w:rPr>
                <w:rStyle w:val="11"/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□□□□□□□</w:t>
            </w:r>
            <w:r>
              <w:rPr>
                <w:rStyle w:val="11"/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</w:t>
            </w:r>
          </w:p>
          <w:p>
            <w:pPr>
              <w:keepNext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baseline"/>
              <w:rPr>
                <w:rStyle w:val="11"/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Style w:val="11"/>
                <w:rFonts w:hint="eastAsia" w:ascii="仿宋_GB2312" w:hAnsi="仿宋_GB2312" w:eastAsia="仿宋_GB2312" w:cs="仿宋_GB2312"/>
                <w:sz w:val="32"/>
                <w:szCs w:val="32"/>
              </w:rPr>
              <w:t>学校：      年级：        班级：      出生日期：    年   月   日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20" w:line="400" w:lineRule="exact"/>
              <w:textAlignment w:val="baseline"/>
              <w:rPr>
                <w:rStyle w:val="11"/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Style w:val="11"/>
                <w:rFonts w:hint="eastAsia" w:ascii="仿宋_GB2312" w:hAnsi="仿宋_GB2312" w:eastAsia="仿宋_GB2312" w:cs="仿宋_GB2312"/>
                <w:sz w:val="32"/>
                <w:szCs w:val="32"/>
              </w:rPr>
              <w:t>身高：    cm            体重：    kg</w:t>
            </w:r>
          </w:p>
          <w:tbl>
            <w:tblPr>
              <w:tblStyle w:val="8"/>
              <w:tblW w:w="10583" w:type="dxa"/>
              <w:tblInd w:w="-45" w:type="dxa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160"/>
              <w:gridCol w:w="975"/>
              <w:gridCol w:w="840"/>
              <w:gridCol w:w="180"/>
              <w:gridCol w:w="2107"/>
              <w:gridCol w:w="1388"/>
              <w:gridCol w:w="47"/>
              <w:gridCol w:w="845"/>
              <w:gridCol w:w="1178"/>
              <w:gridCol w:w="863"/>
            </w:tblGrid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After w:val="1"/>
                <w:wAfter w:w="863" w:type="dxa"/>
                <w:trHeight w:val="334" w:hRule="atLeast"/>
              </w:trPr>
              <w:tc>
                <w:tcPr>
                  <w:tcW w:w="216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firstLine="320" w:firstLineChars="100"/>
                    <w:jc w:val="both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姓名</w:t>
                  </w:r>
                </w:p>
              </w:tc>
              <w:tc>
                <w:tcPr>
                  <w:tcW w:w="181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firstLine="320" w:firstLineChars="100"/>
                    <w:jc w:val="both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性别</w:t>
                  </w:r>
                </w:p>
              </w:tc>
              <w:tc>
                <w:tcPr>
                  <w:tcW w:w="2287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firstLine="320" w:firstLineChars="100"/>
                    <w:jc w:val="both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年龄</w:t>
                  </w:r>
                </w:p>
              </w:tc>
              <w:tc>
                <w:tcPr>
                  <w:tcW w:w="3458" w:type="dxa"/>
                  <w:gridSpan w:val="4"/>
                  <w:tcBorders>
                    <w:top w:val="single" w:color="000000" w:sz="4" w:space="0"/>
                    <w:left w:val="single" w:color="000000" w:sz="4" w:space="0"/>
                    <w:bottom w:val="nil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left="181" w:leftChars="86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验光单粘贴：</w:t>
                  </w: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After w:val="1"/>
                <w:wAfter w:w="863" w:type="dxa"/>
                <w:cantSplit/>
                <w:trHeight w:val="416" w:hRule="atLeast"/>
              </w:trPr>
              <w:tc>
                <w:tcPr>
                  <w:tcW w:w="216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firstLine="320" w:firstLineChars="100"/>
                    <w:jc w:val="both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联系电话</w:t>
                  </w:r>
                </w:p>
              </w:tc>
              <w:tc>
                <w:tcPr>
                  <w:tcW w:w="4102" w:type="dxa"/>
                  <w:gridSpan w:val="4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firstLine="320" w:firstLineChars="100"/>
                    <w:jc w:val="both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身份证号</w:t>
                  </w:r>
                </w:p>
              </w:tc>
              <w:tc>
                <w:tcPr>
                  <w:tcW w:w="3458" w:type="dxa"/>
                  <w:gridSpan w:val="4"/>
                  <w:vMerge w:val="restart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left="181" w:leftChars="86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After w:val="1"/>
                <w:wAfter w:w="863" w:type="dxa"/>
                <w:cantSplit/>
                <w:trHeight w:val="416" w:hRule="atLeast"/>
              </w:trPr>
              <w:tc>
                <w:tcPr>
                  <w:tcW w:w="6262" w:type="dxa"/>
                  <w:gridSpan w:val="5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firstLine="320" w:firstLineChars="100"/>
                    <w:jc w:val="both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联系地址</w:t>
                  </w:r>
                </w:p>
              </w:tc>
              <w:tc>
                <w:tcPr>
                  <w:tcW w:w="3458" w:type="dxa"/>
                  <w:gridSpan w:val="4"/>
                  <w:vMerge w:val="continue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After w:val="1"/>
                <w:wAfter w:w="863" w:type="dxa"/>
                <w:trHeight w:val="445" w:hRule="atLeast"/>
              </w:trPr>
              <w:tc>
                <w:tcPr>
                  <w:tcW w:w="9720" w:type="dxa"/>
                  <w:gridSpan w:val="9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left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既往史：         家族史              是否早产        过敏史</w:t>
                  </w: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After w:val="1"/>
                <w:wAfter w:w="863" w:type="dxa"/>
                <w:trHeight w:val="1070" w:hRule="atLeast"/>
              </w:trPr>
              <w:tc>
                <w:tcPr>
                  <w:tcW w:w="216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矫正方式</w:t>
                  </w:r>
                </w:p>
              </w:tc>
              <w:tc>
                <w:tcPr>
                  <w:tcW w:w="7560" w:type="dxa"/>
                  <w:gridSpan w:val="8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□框架眼镜（类型：       ）  □隐形眼镜  □夜戴角膜塑形镜</w:t>
                  </w:r>
                </w:p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  <w:u w:val="single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□中医疗法（类型：       ）  □其他</w:t>
                  </w: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After w:val="1"/>
                <w:wAfter w:w="863" w:type="dxa"/>
                <w:trHeight w:val="387" w:hRule="atLeast"/>
              </w:trPr>
              <w:tc>
                <w:tcPr>
                  <w:tcW w:w="216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眼   别</w:t>
                  </w:r>
                </w:p>
              </w:tc>
              <w:tc>
                <w:tcPr>
                  <w:tcW w:w="4102" w:type="dxa"/>
                  <w:gridSpan w:val="4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OD</w:t>
                  </w:r>
                </w:p>
              </w:tc>
              <w:tc>
                <w:tcPr>
                  <w:tcW w:w="3458" w:type="dxa"/>
                  <w:gridSpan w:val="4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OS</w:t>
                  </w: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After w:val="1"/>
                <w:wAfter w:w="863" w:type="dxa"/>
                <w:trHeight w:val="473" w:hRule="atLeast"/>
              </w:trPr>
              <w:tc>
                <w:tcPr>
                  <w:tcW w:w="216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裸眼视力</w:t>
                  </w:r>
                </w:p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(5分记录法)</w:t>
                  </w:r>
                </w:p>
              </w:tc>
              <w:tc>
                <w:tcPr>
                  <w:tcW w:w="4102" w:type="dxa"/>
                  <w:gridSpan w:val="4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left="181" w:leftChars="86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3458" w:type="dxa"/>
                  <w:gridSpan w:val="4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left="181" w:leftChars="86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After w:val="1"/>
                <w:wAfter w:w="863" w:type="dxa"/>
                <w:trHeight w:val="311" w:hRule="atLeast"/>
              </w:trPr>
              <w:tc>
                <w:tcPr>
                  <w:tcW w:w="216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baseline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矫正视力</w:t>
                  </w:r>
                </w:p>
              </w:tc>
              <w:tc>
                <w:tcPr>
                  <w:tcW w:w="4102" w:type="dxa"/>
                  <w:gridSpan w:val="4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left="181" w:leftChars="86"/>
                    <w:jc w:val="center"/>
                    <w:textAlignment w:val="baseline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3458" w:type="dxa"/>
                  <w:gridSpan w:val="4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After w:val="1"/>
                <w:wAfter w:w="863" w:type="dxa"/>
                <w:trHeight w:val="421" w:hRule="atLeast"/>
              </w:trPr>
              <w:tc>
                <w:tcPr>
                  <w:tcW w:w="216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角膜曲率（D）</w:t>
                  </w:r>
                </w:p>
              </w:tc>
              <w:tc>
                <w:tcPr>
                  <w:tcW w:w="181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K1</w:t>
                  </w:r>
                </w:p>
              </w:tc>
              <w:tc>
                <w:tcPr>
                  <w:tcW w:w="2287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K2</w:t>
                  </w:r>
                </w:p>
              </w:tc>
              <w:tc>
                <w:tcPr>
                  <w:tcW w:w="14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K1</w:t>
                  </w:r>
                </w:p>
              </w:tc>
              <w:tc>
                <w:tcPr>
                  <w:tcW w:w="2023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K2</w:t>
                  </w: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After w:val="1"/>
                <w:wAfter w:w="863" w:type="dxa"/>
                <w:trHeight w:val="391" w:hRule="atLeast"/>
              </w:trPr>
              <w:tc>
                <w:tcPr>
                  <w:tcW w:w="216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眼轴（mm）</w:t>
                  </w:r>
                </w:p>
              </w:tc>
              <w:tc>
                <w:tcPr>
                  <w:tcW w:w="4102" w:type="dxa"/>
                  <w:gridSpan w:val="4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left="181" w:leftChars="86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3458" w:type="dxa"/>
                  <w:gridSpan w:val="4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left="181" w:leftChars="86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63" w:hRule="atLeast"/>
              </w:trPr>
              <w:tc>
                <w:tcPr>
                  <w:tcW w:w="216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left="181" w:leftChars="86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9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球镜</w:t>
                  </w:r>
                </w:p>
              </w:tc>
              <w:tc>
                <w:tcPr>
                  <w:tcW w:w="1020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柱镜</w:t>
                  </w:r>
                </w:p>
              </w:tc>
              <w:tc>
                <w:tcPr>
                  <w:tcW w:w="210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轴位</w:t>
                  </w:r>
                </w:p>
              </w:tc>
              <w:tc>
                <w:tcPr>
                  <w:tcW w:w="138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球镜</w:t>
                  </w:r>
                </w:p>
              </w:tc>
              <w:tc>
                <w:tcPr>
                  <w:tcW w:w="89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柱镜</w:t>
                  </w:r>
                </w:p>
              </w:tc>
              <w:tc>
                <w:tcPr>
                  <w:tcW w:w="2041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both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轴位</w:t>
                  </w: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73" w:hRule="atLeast"/>
              </w:trPr>
              <w:tc>
                <w:tcPr>
                  <w:tcW w:w="216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屈光检查</w:t>
                  </w:r>
                </w:p>
              </w:tc>
              <w:tc>
                <w:tcPr>
                  <w:tcW w:w="9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left="181" w:leftChars="86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020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left="181" w:leftChars="86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0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left="181" w:leftChars="86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38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left="181" w:leftChars="86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9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left="181" w:leftChars="86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041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left="181" w:leftChars="86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73" w:hRule="atLeast"/>
              </w:trPr>
              <w:tc>
                <w:tcPr>
                  <w:tcW w:w="216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散瞳检查</w:t>
                  </w:r>
                </w:p>
              </w:tc>
              <w:tc>
                <w:tcPr>
                  <w:tcW w:w="9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left="181" w:leftChars="86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020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left="181" w:leftChars="86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0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left="181" w:leftChars="86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38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left="181" w:leftChars="86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9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left="181" w:leftChars="86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041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left="181" w:leftChars="86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After w:val="1"/>
                <w:wAfter w:w="863" w:type="dxa"/>
                <w:trHeight w:val="403" w:hRule="atLeast"/>
              </w:trPr>
              <w:tc>
                <w:tcPr>
                  <w:tcW w:w="216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前房深度</w:t>
                  </w:r>
                </w:p>
              </w:tc>
              <w:tc>
                <w:tcPr>
                  <w:tcW w:w="4102" w:type="dxa"/>
                  <w:gridSpan w:val="4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left="181" w:leftChars="86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3458" w:type="dxa"/>
                  <w:gridSpan w:val="4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ind w:left="181" w:leftChars="86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After w:val="1"/>
                <w:wAfter w:w="863" w:type="dxa"/>
                <w:trHeight w:val="473" w:hRule="atLeast"/>
              </w:trPr>
              <w:tc>
                <w:tcPr>
                  <w:tcW w:w="6262" w:type="dxa"/>
                  <w:gridSpan w:val="5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其他情况</w:t>
                  </w:r>
                </w:p>
              </w:tc>
              <w:tc>
                <w:tcPr>
                  <w:tcW w:w="3458" w:type="dxa"/>
                  <w:gridSpan w:val="4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keepNext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left="181" w:leftChars="86"/>
                    <w:jc w:val="center"/>
                    <w:textAlignment w:val="baseline"/>
                    <w:rPr>
                      <w:rStyle w:val="11"/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</w:tr>
          </w:tbl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baseline"/>
              <w:rPr>
                <w:rStyle w:val="11"/>
                <w:rFonts w:hint="eastAsia" w:ascii="宋体" w:hAnsi="宋体" w:eastAsia="宋体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Style w:val="11"/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注：1.戴镜视力指配戴自己现有的眼镜看到的视力水平。2.“电脑验光”中，“球镜”为近视或远视度数，负值“-”为近视，正值为远视；“柱镜”为散光度数；轴位为散光的方向，有散光度数才会有散光轴位。3.检查若不散瞳，结果不具有诊断意义；4. 同一人散瞳前后验光需由同一验光师操作</w:t>
            </w:r>
            <w:r>
              <w:rPr>
                <w:rStyle w:val="11"/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。</w:t>
            </w:r>
          </w:p>
        </w:tc>
      </w:tr>
    </w:tbl>
    <w:p>
      <w:pPr>
        <w:pStyle w:val="2"/>
        <w:ind w:left="0" w:leftChars="0" w:firstLine="0" w:firstLineChars="0"/>
        <w:rPr>
          <w:rFonts w:hint="eastAsia"/>
          <w:lang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小标宋">
    <w:altName w:val="方正小标宋_GBK"/>
    <w:panose1 w:val="02000500000000000000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E35B79"/>
    <w:rsid w:val="2E972830"/>
    <w:rsid w:val="3A253E75"/>
    <w:rsid w:val="3B31673D"/>
    <w:rsid w:val="3FBF0908"/>
    <w:rsid w:val="47B82C91"/>
    <w:rsid w:val="4AF61263"/>
    <w:rsid w:val="5CFE1075"/>
    <w:rsid w:val="63F1181E"/>
    <w:rsid w:val="7EAB0CB5"/>
    <w:rsid w:val="D15EA3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ind w:left="106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next w:val="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styleId="7">
    <w:name w:val="Body Text First Indent 2"/>
    <w:basedOn w:val="3"/>
    <w:next w:val="1"/>
    <w:qFormat/>
    <w:uiPriority w:val="0"/>
    <w:pPr>
      <w:spacing w:before="100" w:beforeAutospacing="1"/>
      <w:ind w:left="200" w:firstLine="420" w:firstLineChars="200"/>
    </w:pPr>
    <w:rPr>
      <w:rFonts w:ascii="Times New Roman" w:eastAsia="仿宋_GB2312"/>
      <w:sz w:val="32"/>
      <w:szCs w:val="32"/>
    </w:r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NormalCharacter"/>
    <w:qFormat/>
    <w:uiPriority w:val="0"/>
    <w:rPr>
      <w:rFonts w:ascii="Calibri" w:hAnsi="Calibri" w:eastAsia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6130</Words>
  <Characters>6316</Characters>
  <Paragraphs>188</Paragraphs>
  <TotalTime>12</TotalTime>
  <ScaleCrop>false</ScaleCrop>
  <LinksUpToDate>false</LinksUpToDate>
  <CharactersWithSpaces>7362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2022-03-31T00:50:00Z</dcterms:created>
  <dc:creator>user</dc:creator>
  <cp:lastModifiedBy>许栩一生</cp:lastModifiedBy>
  <cp:lastPrinted>2022-04-18T01:40:00Z</cp:lastPrinted>
  <dcterms:modified xsi:type="dcterms:W3CDTF">2022-04-18T03:06:27Z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96755418BF614BE1983EA6AE8507D853</vt:lpwstr>
  </property>
</Properties>
</file>