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60" w:lineRule="exact"/>
        <w:ind w:firstLine="600"/>
        <w:jc w:val="center"/>
        <w:rPr>
          <w:rFonts w:ascii="Times New Roman" w:hAnsi="Times New Roman" w:eastAsia="方正小标宋简体" w:cs="Times New Roman"/>
          <w:sz w:val="32"/>
          <w:szCs w:val="32"/>
          <w:lang w:eastAsia="zh-CN"/>
        </w:rPr>
      </w:pPr>
    </w:p>
    <w:p>
      <w:pPr>
        <w:widowControl/>
        <w:shd w:val="clear" w:color="auto" w:fill="FFFFFF"/>
        <w:spacing w:line="560" w:lineRule="exact"/>
        <w:jc w:val="center"/>
        <w:rPr>
          <w:rFonts w:ascii="Times New Roman" w:hAnsi="Times New Roman" w:eastAsia="方正小标宋简体" w:cs="Times New Roman"/>
          <w:sz w:val="44"/>
          <w:szCs w:val="44"/>
          <w:lang w:eastAsia="zh-CN"/>
        </w:rPr>
      </w:pPr>
      <w:r>
        <w:rPr>
          <w:rFonts w:ascii="Times New Roman" w:hAnsi="Times New Roman" w:eastAsia="方正小标宋简体" w:cs="Times New Roman"/>
          <w:sz w:val="44"/>
          <w:szCs w:val="44"/>
          <w:lang w:eastAsia="zh-CN"/>
        </w:rPr>
        <w:t>疫情防控措施</w:t>
      </w:r>
    </w:p>
    <w:p>
      <w:pPr>
        <w:widowControl/>
        <w:shd w:val="clear" w:color="auto" w:fill="FFFFFF"/>
        <w:spacing w:line="560" w:lineRule="exact"/>
        <w:ind w:firstLine="600"/>
        <w:rPr>
          <w:rFonts w:ascii="Times New Roman" w:hAnsi="Times New Roman" w:eastAsia="仿宋_GB2312" w:cs="Times New Roman"/>
          <w:sz w:val="32"/>
          <w:szCs w:val="32"/>
          <w:lang w:eastAsia="zh-CN"/>
        </w:rPr>
      </w:pPr>
    </w:p>
    <w:p>
      <w:pPr>
        <w:widowControl/>
        <w:shd w:val="clear" w:color="auto" w:fill="FFFFFF"/>
        <w:spacing w:line="560" w:lineRule="exact"/>
        <w:ind w:firstLine="600"/>
        <w:rPr>
          <w:rFonts w:ascii="Times New Roman" w:hAnsi="Times New Roman" w:eastAsia="仿宋_GB2312" w:cs="Times New Roman"/>
          <w:color w:val="000000" w:themeColor="text1"/>
          <w:sz w:val="32"/>
          <w:szCs w:val="32"/>
          <w:lang w:eastAsia="zh-CN"/>
          <w14:textFill>
            <w14:solidFill>
              <w14:schemeClr w14:val="tx1"/>
            </w14:solidFill>
          </w14:textFill>
        </w:rPr>
      </w:pPr>
      <w:r>
        <w:rPr>
          <w:rFonts w:ascii="Times New Roman" w:hAnsi="Times New Roman" w:eastAsia="仿宋_GB2312" w:cs="Times New Roman"/>
          <w:sz w:val="32"/>
          <w:szCs w:val="32"/>
          <w:lang w:eastAsia="zh-CN"/>
        </w:rPr>
        <w:t>为确保招聘工作安全顺利进行，根据</w:t>
      </w:r>
      <w:r>
        <w:rPr>
          <w:rFonts w:hint="eastAsia" w:ascii="Times New Roman" w:hAnsi="Times New Roman" w:eastAsia="仿宋_GB2312" w:cs="Times New Roman"/>
          <w:sz w:val="32"/>
          <w:szCs w:val="32"/>
          <w:lang w:eastAsia="zh-CN"/>
        </w:rPr>
        <w:t>我市</w:t>
      </w:r>
      <w:r>
        <w:rPr>
          <w:rFonts w:ascii="Times New Roman" w:hAnsi="Times New Roman" w:eastAsia="仿宋_GB2312" w:cs="Times New Roman"/>
          <w:sz w:val="32"/>
          <w:szCs w:val="32"/>
          <w:lang w:eastAsia="zh-CN"/>
        </w:rPr>
        <w:t>新冠肺炎疫情防控有关要求，现将本次考试疫情防控有关事项说明如下：</w:t>
      </w:r>
    </w:p>
    <w:p>
      <w:pPr>
        <w:spacing w:line="560" w:lineRule="exact"/>
        <w:ind w:firstLine="640" w:firstLineChars="200"/>
        <w:jc w:val="both"/>
        <w:rPr>
          <w:rFonts w:ascii="Times New Roman" w:hAnsi="Times New Roman" w:eastAsia="仿宋_GB2312" w:cs="Times New Roman"/>
          <w:color w:val="000000" w:themeColor="text1"/>
          <w:sz w:val="32"/>
          <w:szCs w:val="32"/>
          <w:lang w:eastAsia="zh-CN"/>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（一）</w:t>
      </w:r>
      <w:r>
        <w:rPr>
          <w:rFonts w:ascii="Times New Roman" w:hAnsi="Times New Roman" w:eastAsia="仿宋_GB2312" w:cs="Times New Roman"/>
          <w:color w:val="000000" w:themeColor="text1"/>
          <w:sz w:val="32"/>
          <w:szCs w:val="32"/>
          <w:lang w:eastAsia="zh-CN"/>
          <w14:textFill>
            <w14:solidFill>
              <w14:schemeClr w14:val="tx1"/>
            </w14:solidFill>
          </w14:textFill>
        </w:rPr>
        <w:t>考生防疫要求</w:t>
      </w:r>
    </w:p>
    <w:p>
      <w:pPr>
        <w:widowControl/>
        <w:shd w:val="clear" w:color="auto" w:fill="FFFFFF"/>
        <w:spacing w:line="560" w:lineRule="exact"/>
        <w:ind w:firstLine="600"/>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lang w:eastAsia="zh-CN"/>
        </w:rPr>
        <w:t>1.申领浙江“健康码”</w:t>
      </w:r>
    </w:p>
    <w:p>
      <w:pPr>
        <w:widowControl/>
        <w:shd w:val="clear" w:color="auto" w:fill="FFFFFF"/>
        <w:spacing w:line="560" w:lineRule="exact"/>
        <w:ind w:firstLine="600"/>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lang w:eastAsia="zh-CN"/>
        </w:rPr>
        <w:t>根据疫情防控有关要求，参加</w:t>
      </w:r>
      <w:bookmarkStart w:id="0" w:name="_GoBack"/>
      <w:bookmarkEnd w:id="0"/>
      <w:r>
        <w:rPr>
          <w:rFonts w:hint="eastAsia" w:ascii="Times New Roman" w:hAnsi="Times New Roman" w:eastAsia="仿宋_GB2312" w:cs="Times New Roman"/>
          <w:sz w:val="32"/>
          <w:szCs w:val="32"/>
          <w:lang w:eastAsia="zh-CN"/>
        </w:rPr>
        <w:t>本次</w:t>
      </w:r>
      <w:r>
        <w:rPr>
          <w:rFonts w:ascii="Times New Roman" w:hAnsi="Times New Roman" w:eastAsia="仿宋_GB2312" w:cs="Times New Roman"/>
          <w:sz w:val="32"/>
          <w:szCs w:val="32"/>
          <w:lang w:eastAsia="zh-CN"/>
        </w:rPr>
        <w:t>招聘考试的考生须在笔试前申领浙江“健康码”（浙江省内各市“健康码”可通用）。</w:t>
      </w:r>
    </w:p>
    <w:p>
      <w:pPr>
        <w:widowControl/>
        <w:shd w:val="clear" w:color="auto" w:fill="FFFFFF"/>
        <w:spacing w:line="560" w:lineRule="exact"/>
        <w:ind w:firstLine="600"/>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lang w:eastAsia="zh-CN"/>
        </w:rPr>
        <w:t>2.个人健康状况申报</w:t>
      </w:r>
    </w:p>
    <w:p>
      <w:pPr>
        <w:widowControl/>
        <w:shd w:val="clear" w:color="auto" w:fill="FFFFFF"/>
        <w:spacing w:line="560" w:lineRule="exact"/>
        <w:ind w:firstLine="600"/>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lang w:eastAsia="zh-CN"/>
        </w:rPr>
        <w:t>考生</w:t>
      </w:r>
      <w:r>
        <w:rPr>
          <w:rFonts w:hint="eastAsia" w:ascii="Times New Roman" w:hAnsi="Times New Roman" w:eastAsia="仿宋_GB2312" w:cs="Times New Roman"/>
          <w:sz w:val="32"/>
          <w:szCs w:val="32"/>
          <w:lang w:eastAsia="zh-CN"/>
        </w:rPr>
        <w:t>应在笔试前如实填写</w:t>
      </w:r>
      <w:r>
        <w:rPr>
          <w:rFonts w:ascii="Times New Roman" w:hAnsi="Times New Roman" w:eastAsia="仿宋_GB2312" w:cs="Times New Roman"/>
          <w:sz w:val="32"/>
          <w:szCs w:val="32"/>
          <w:lang w:eastAsia="zh-CN"/>
        </w:rPr>
        <w:t>《个人健康承诺书》，承诺知悉告知事项、证明义务和防疫要求，自愿承担因不实承诺需承担的相关责任并接受处理。凡隐瞒或谎报旅居史、接触史、健康状况等疫情防控重点信息的，不配合工作人员进行健康检疫、询问、查询、送诊等造成严重后果的，取消其相应资格，如有违法行为将依法追究法律责任。</w:t>
      </w:r>
    </w:p>
    <w:p>
      <w:pPr>
        <w:widowControl/>
        <w:shd w:val="clear" w:color="auto" w:fill="FFFFFF"/>
        <w:spacing w:line="560" w:lineRule="exact"/>
        <w:ind w:firstLine="600"/>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lang w:eastAsia="zh-CN"/>
        </w:rPr>
        <w:t>3.考点考场防疫</w:t>
      </w:r>
    </w:p>
    <w:p>
      <w:pPr>
        <w:widowControl/>
        <w:shd w:val="clear" w:color="auto" w:fill="FFFFFF"/>
        <w:spacing w:line="560" w:lineRule="exact"/>
        <w:ind w:firstLine="600"/>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lang w:eastAsia="zh-CN"/>
        </w:rPr>
        <w:t>（1）考生须在入场时提供本人实际参加的首场考试前24小时内（以采样时间为准）浙江省范围内有资质的检测服务机构出具的新型冠状病毒核酸检测阴性报告（纸质报告原件或浙江“健康码”-相关服务-核酸检测结果查询显示的电子报告）。</w:t>
      </w:r>
    </w:p>
    <w:p>
      <w:pPr>
        <w:widowControl/>
        <w:shd w:val="clear" w:color="auto" w:fill="FFFFFF"/>
        <w:spacing w:line="560" w:lineRule="exact"/>
        <w:ind w:firstLine="600"/>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lang w:eastAsia="zh-CN"/>
        </w:rPr>
        <w:t>（2）考试当天，考生凭本人有效身份证原件、纸质准考证，出示浙江“健康码”绿码、“行程卡”、核酸检测阴性报告等，经现场查验符合要求、测量体温正常后入场参加考试。</w:t>
      </w:r>
    </w:p>
    <w:p>
      <w:pPr>
        <w:widowControl/>
        <w:shd w:val="clear" w:color="auto" w:fill="FFFFFF"/>
        <w:spacing w:line="560" w:lineRule="exact"/>
        <w:ind w:firstLine="600"/>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lang w:eastAsia="zh-CN"/>
        </w:rPr>
        <w:t>（3）参加笔试的考生应自备一次性医用外科口罩，除身份核验环节外，在考点期间全程佩戴口罩。</w:t>
      </w:r>
    </w:p>
    <w:p>
      <w:pPr>
        <w:widowControl/>
        <w:shd w:val="clear" w:color="auto" w:fill="FFFFFF"/>
        <w:spacing w:line="560" w:lineRule="exact"/>
        <w:ind w:firstLine="600"/>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lang w:eastAsia="zh-CN"/>
        </w:rPr>
        <w:t>（4）有以下特殊情形之一的考生，必须主动报告相关情况，提前准备相关证明，服从相关安排，否则不能入场参加考试：</w:t>
      </w:r>
    </w:p>
    <w:p>
      <w:pPr>
        <w:widowControl/>
        <w:shd w:val="clear" w:color="auto" w:fill="FFFFFF"/>
        <w:spacing w:line="560" w:lineRule="exact"/>
        <w:ind w:firstLine="600"/>
        <w:rPr>
          <w:rFonts w:ascii="Times New Roman" w:hAnsi="Times New Roman" w:eastAsia="仿宋_GB2312" w:cs="Times New Roman"/>
          <w:sz w:val="32"/>
          <w:szCs w:val="32"/>
          <w:lang w:eastAsia="zh-CN"/>
        </w:rPr>
      </w:pPr>
      <w:r>
        <w:rPr>
          <w:rFonts w:hint="eastAsia" w:ascii="宋体" w:hAnsi="宋体" w:eastAsia="宋体" w:cs="宋体"/>
          <w:sz w:val="32"/>
          <w:szCs w:val="32"/>
          <w:lang w:eastAsia="zh-CN"/>
        </w:rPr>
        <w:t>①</w:t>
      </w:r>
      <w:r>
        <w:rPr>
          <w:rFonts w:ascii="Times New Roman" w:hAnsi="Times New Roman" w:eastAsia="仿宋_GB2312" w:cs="Times New Roman"/>
          <w:sz w:val="32"/>
          <w:szCs w:val="32"/>
          <w:lang w:eastAsia="zh-CN"/>
        </w:rPr>
        <w:t>浙江“健康码”非绿码的考生，应完成浙江“健康码”绿码转码工作后方可参加考试，逾期未转为绿码的不得参加考试。</w:t>
      </w:r>
    </w:p>
    <w:p>
      <w:pPr>
        <w:widowControl/>
        <w:shd w:val="clear" w:color="auto" w:fill="FFFFFF"/>
        <w:spacing w:line="560" w:lineRule="exact"/>
        <w:ind w:firstLine="600"/>
        <w:rPr>
          <w:rFonts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②</w:t>
      </w:r>
      <w:r>
        <w:rPr>
          <w:rFonts w:ascii="Times New Roman" w:hAnsi="Times New Roman" w:eastAsia="仿宋_GB2312" w:cs="Times New Roman"/>
          <w:sz w:val="32"/>
          <w:szCs w:val="32"/>
          <w:lang w:eastAsia="zh-CN"/>
        </w:rPr>
        <w:t>“行程卡”带*号的考生，须同时提供当地核酸检测阴性证明以及考前24小时内浙江省范围内有资质的检测服务机构提供的核酸检测阴性证明。</w:t>
      </w:r>
    </w:p>
    <w:p>
      <w:pPr>
        <w:widowControl/>
        <w:shd w:val="clear" w:color="auto" w:fill="FFFFFF"/>
        <w:spacing w:line="560" w:lineRule="exact"/>
        <w:ind w:firstLine="600"/>
        <w:rPr>
          <w:rFonts w:ascii="Times New Roman" w:hAnsi="Times New Roman" w:eastAsia="仿宋_GB2312" w:cs="Times New Roman"/>
          <w:sz w:val="32"/>
          <w:szCs w:val="32"/>
          <w:lang w:eastAsia="zh-CN"/>
        </w:rPr>
      </w:pPr>
      <w:r>
        <w:rPr>
          <w:rFonts w:hint="eastAsia" w:ascii="宋体" w:hAnsi="宋体" w:eastAsia="宋体" w:cs="宋体"/>
          <w:sz w:val="32"/>
          <w:szCs w:val="32"/>
          <w:lang w:eastAsia="zh-CN"/>
        </w:rPr>
        <w:t>③</w:t>
      </w:r>
      <w:r>
        <w:rPr>
          <w:rFonts w:hint="eastAsia" w:ascii="Times New Roman" w:hAnsi="Times New Roman" w:eastAsia="仿宋_GB2312" w:cs="Times New Roman"/>
          <w:sz w:val="32"/>
          <w:szCs w:val="32"/>
          <w:lang w:eastAsia="zh-CN"/>
        </w:rPr>
        <w:t>截止考试当天，</w:t>
      </w:r>
      <w:r>
        <w:rPr>
          <w:rFonts w:ascii="Times New Roman" w:hAnsi="Times New Roman" w:eastAsia="仿宋_GB2312" w:cs="Times New Roman"/>
          <w:sz w:val="32"/>
          <w:szCs w:val="32"/>
          <w:lang w:eastAsia="zh-CN"/>
        </w:rPr>
        <w:t>考生被认定为既往新冠肺炎确诊病例、无症状感染者及密切接触者的，应主动向参考地人事考试机构报告，除提供核酸检测阴性报告外，还须出具肺部影像学检查无异常证明。</w:t>
      </w:r>
    </w:p>
    <w:p>
      <w:pPr>
        <w:widowControl/>
        <w:shd w:val="clear" w:color="auto" w:fill="FFFFFF"/>
        <w:spacing w:line="560" w:lineRule="exact"/>
        <w:ind w:firstLine="600"/>
        <w:rPr>
          <w:rFonts w:ascii="Times New Roman" w:hAnsi="Times New Roman" w:eastAsia="仿宋_GB2312" w:cs="Times New Roman"/>
          <w:sz w:val="32"/>
          <w:szCs w:val="32"/>
          <w:lang w:eastAsia="zh-CN"/>
        </w:rPr>
      </w:pPr>
      <w:r>
        <w:rPr>
          <w:rFonts w:hint="eastAsia" w:ascii="宋体" w:hAnsi="宋体" w:eastAsia="宋体" w:cs="宋体"/>
          <w:sz w:val="32"/>
          <w:szCs w:val="32"/>
          <w:lang w:eastAsia="zh-CN"/>
        </w:rPr>
        <w:t>④</w:t>
      </w:r>
      <w:r>
        <w:rPr>
          <w:rFonts w:ascii="Times New Roman" w:hAnsi="Times New Roman" w:eastAsia="仿宋_GB2312" w:cs="Times New Roman"/>
          <w:sz w:val="32"/>
          <w:szCs w:val="32"/>
          <w:lang w:eastAsia="zh-CN"/>
        </w:rPr>
        <w:t>考生在考前有发热（腋下37.3℃以上）、干咳、乏力、咽痛、腹泻等症状的，应及时就医，必要时出示就医凭证，经现场防疫人员评估同意后方可参加考试。</w:t>
      </w:r>
    </w:p>
    <w:p>
      <w:pPr>
        <w:widowControl/>
        <w:shd w:val="clear" w:color="auto" w:fill="FFFFFF"/>
        <w:spacing w:line="560" w:lineRule="exact"/>
        <w:ind w:firstLine="600"/>
        <w:rPr>
          <w:rFonts w:ascii="Times New Roman" w:hAnsi="Times New Roman" w:eastAsia="仿宋_GB2312" w:cs="Times New Roman"/>
          <w:sz w:val="32"/>
          <w:szCs w:val="32"/>
          <w:lang w:eastAsia="zh-CN"/>
        </w:rPr>
      </w:pPr>
      <w:r>
        <w:rPr>
          <w:rFonts w:hint="eastAsia" w:ascii="宋体" w:hAnsi="宋体" w:eastAsia="宋体" w:cs="宋体"/>
          <w:sz w:val="32"/>
          <w:szCs w:val="32"/>
          <w:lang w:eastAsia="zh-CN"/>
        </w:rPr>
        <w:t>⑤</w:t>
      </w:r>
      <w:r>
        <w:rPr>
          <w:rFonts w:ascii="Times New Roman" w:hAnsi="Times New Roman" w:eastAsia="仿宋_GB2312" w:cs="Times New Roman"/>
          <w:sz w:val="32"/>
          <w:szCs w:val="32"/>
          <w:lang w:eastAsia="zh-CN"/>
        </w:rPr>
        <w:t>考试当天或考试过程中，考生出现发热（腋下37.3℃以上）、干咳、乏力、咽痛、腹泻等症状的，应主动向考点考场考务工作人员报告，经考点防疫人员评估后具备继续完成考试条件的，可转移至隔离考场考试，考试结束后应配合送医就诊；对评估不具备继续完成考试条件的考生应及时送医就诊。</w:t>
      </w:r>
    </w:p>
    <w:p>
      <w:pPr>
        <w:widowControl/>
        <w:shd w:val="clear" w:color="auto" w:fill="FFFFFF"/>
        <w:spacing w:line="560" w:lineRule="exact"/>
        <w:ind w:firstLine="600"/>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lang w:eastAsia="zh-CN"/>
        </w:rPr>
        <w:t>（5）考生有下列情形之一的，不得参加考试：</w:t>
      </w:r>
    </w:p>
    <w:p>
      <w:pPr>
        <w:spacing w:line="560" w:lineRule="exact"/>
        <w:ind w:firstLine="640" w:firstLineChars="200"/>
        <w:rPr>
          <w:rFonts w:ascii="Times New Roman" w:hAnsi="Times New Roman" w:eastAsia="仿宋_GB2312"/>
          <w:color w:val="000000"/>
          <w:sz w:val="32"/>
          <w:szCs w:val="32"/>
          <w:lang w:eastAsia="zh-CN"/>
        </w:rPr>
      </w:pPr>
      <w:r>
        <w:rPr>
          <w:rFonts w:hint="eastAsia" w:ascii="宋体" w:hAnsi="宋体" w:eastAsia="宋体" w:cs="宋体"/>
          <w:sz w:val="32"/>
          <w:szCs w:val="32"/>
          <w:lang w:eastAsia="zh-CN"/>
        </w:rPr>
        <w:t>①</w:t>
      </w:r>
      <w:r>
        <w:rPr>
          <w:rFonts w:ascii="Times New Roman" w:hAnsi="Times New Roman" w:eastAsia="仿宋_GB2312"/>
          <w:color w:val="000000"/>
          <w:sz w:val="32"/>
          <w:szCs w:val="32"/>
          <w:lang w:eastAsia="zh-CN"/>
        </w:rPr>
        <w:t>报到前14天内有国内中高风险地区所在县（市、区）（直辖市以街道为单位）旅居史的人员；</w:t>
      </w:r>
    </w:p>
    <w:p>
      <w:pPr>
        <w:spacing w:line="560" w:lineRule="exact"/>
        <w:ind w:firstLine="640" w:firstLineChars="200"/>
        <w:rPr>
          <w:rFonts w:ascii="Times New Roman" w:hAnsi="Times New Roman" w:eastAsia="仿宋_GB2312"/>
          <w:color w:val="000000"/>
          <w:sz w:val="32"/>
          <w:szCs w:val="32"/>
          <w:lang w:eastAsia="zh-CN"/>
        </w:rPr>
      </w:pPr>
      <w:r>
        <w:rPr>
          <w:rFonts w:hint="eastAsia" w:ascii="宋体" w:hAnsi="宋体" w:eastAsia="宋体" w:cs="宋体"/>
          <w:sz w:val="32"/>
          <w:szCs w:val="32"/>
          <w:lang w:eastAsia="zh-CN"/>
        </w:rPr>
        <w:t>②</w:t>
      </w:r>
      <w:r>
        <w:rPr>
          <w:rFonts w:ascii="Times New Roman" w:hAnsi="Times New Roman" w:eastAsia="仿宋_GB2312"/>
          <w:color w:val="000000"/>
          <w:sz w:val="32"/>
          <w:szCs w:val="32"/>
          <w:lang w:eastAsia="zh-CN"/>
        </w:rPr>
        <w:t>报到前28天内本人及其共同居住的家庭成员有境外旅居史的（澳门地区除外）；</w:t>
      </w:r>
    </w:p>
    <w:p>
      <w:pPr>
        <w:spacing w:line="560" w:lineRule="exact"/>
        <w:ind w:firstLine="640" w:firstLineChars="200"/>
        <w:rPr>
          <w:rFonts w:ascii="Times New Roman" w:hAnsi="Times New Roman" w:eastAsia="仿宋_GB2312"/>
          <w:color w:val="000000"/>
          <w:sz w:val="32"/>
          <w:szCs w:val="32"/>
          <w:lang w:eastAsia="zh-CN"/>
        </w:rPr>
      </w:pPr>
      <w:r>
        <w:rPr>
          <w:rFonts w:hint="eastAsia" w:ascii="宋体" w:hAnsi="宋体" w:eastAsia="宋体" w:cs="宋体"/>
          <w:sz w:val="32"/>
          <w:szCs w:val="32"/>
          <w:lang w:eastAsia="zh-CN"/>
        </w:rPr>
        <w:t>③</w:t>
      </w:r>
      <w:r>
        <w:rPr>
          <w:rFonts w:ascii="Times New Roman" w:hAnsi="Times New Roman" w:eastAsia="仿宋_GB2312"/>
          <w:color w:val="000000"/>
          <w:sz w:val="32"/>
          <w:szCs w:val="32"/>
          <w:lang w:eastAsia="zh-CN"/>
        </w:rPr>
        <w:t>被判定为新冠病毒感染者（确诊病例及无症状感染者），感染者的密切接触者、次密切接触者以及时空伴随人员，尚未完成隔离医学观察的；</w:t>
      </w:r>
    </w:p>
    <w:p>
      <w:pPr>
        <w:spacing w:line="560" w:lineRule="exact"/>
        <w:ind w:firstLine="640" w:firstLineChars="200"/>
        <w:rPr>
          <w:rFonts w:ascii="Times New Roman" w:hAnsi="Times New Roman" w:eastAsia="仿宋_GB2312"/>
          <w:color w:val="000000"/>
          <w:sz w:val="32"/>
          <w:szCs w:val="32"/>
          <w:lang w:eastAsia="zh-CN"/>
        </w:rPr>
      </w:pPr>
      <w:r>
        <w:rPr>
          <w:rFonts w:hint="eastAsia" w:ascii="宋体" w:hAnsi="宋体" w:eastAsia="宋体" w:cs="宋体"/>
          <w:sz w:val="32"/>
          <w:szCs w:val="32"/>
          <w:lang w:eastAsia="zh-CN"/>
        </w:rPr>
        <w:t>④</w:t>
      </w:r>
      <w:r>
        <w:rPr>
          <w:rFonts w:ascii="Times New Roman" w:hAnsi="Times New Roman" w:eastAsia="仿宋_GB2312"/>
          <w:color w:val="000000"/>
          <w:sz w:val="32"/>
          <w:szCs w:val="32"/>
          <w:lang w:eastAsia="zh-CN"/>
        </w:rPr>
        <w:t>已治愈出院的确诊病例和已解除集中隔离医学观察的无症状感染者，尚在随访及医学观察期内的；</w:t>
      </w:r>
    </w:p>
    <w:p>
      <w:pPr>
        <w:spacing w:line="560" w:lineRule="exact"/>
        <w:ind w:firstLine="640" w:firstLineChars="200"/>
        <w:rPr>
          <w:rFonts w:ascii="Times New Roman" w:hAnsi="Times New Roman" w:eastAsia="仿宋_GB2312"/>
          <w:color w:val="000000"/>
          <w:sz w:val="32"/>
          <w:szCs w:val="32"/>
          <w:lang w:eastAsia="zh-CN"/>
        </w:rPr>
      </w:pPr>
      <w:r>
        <w:rPr>
          <w:rFonts w:hint="eastAsia" w:ascii="宋体" w:hAnsi="宋体" w:eastAsia="宋体" w:cs="宋体"/>
          <w:sz w:val="32"/>
          <w:szCs w:val="32"/>
          <w:lang w:eastAsia="zh-CN"/>
        </w:rPr>
        <w:t>⑤</w:t>
      </w:r>
      <w:r>
        <w:rPr>
          <w:rFonts w:ascii="Times New Roman" w:hAnsi="Times New Roman" w:eastAsia="仿宋_GB2312"/>
          <w:color w:val="000000"/>
          <w:sz w:val="32"/>
          <w:szCs w:val="32"/>
          <w:lang w:eastAsia="zh-CN"/>
        </w:rPr>
        <w:t>尚处于居家健康观察和日常健康监测期间的；</w:t>
      </w:r>
    </w:p>
    <w:p>
      <w:pPr>
        <w:spacing w:line="560" w:lineRule="exact"/>
        <w:ind w:firstLine="640" w:firstLineChars="200"/>
        <w:rPr>
          <w:rFonts w:ascii="Times New Roman" w:hAnsi="Times New Roman" w:eastAsia="仿宋_GB2312"/>
          <w:color w:val="000000"/>
          <w:sz w:val="32"/>
          <w:szCs w:val="32"/>
          <w:lang w:eastAsia="zh-CN"/>
        </w:rPr>
      </w:pPr>
      <w:r>
        <w:rPr>
          <w:rFonts w:hint="eastAsia" w:ascii="宋体" w:hAnsi="宋体" w:eastAsia="宋体" w:cs="宋体"/>
          <w:sz w:val="32"/>
          <w:szCs w:val="32"/>
          <w:lang w:eastAsia="zh-CN"/>
        </w:rPr>
        <w:t>⑥</w:t>
      </w:r>
      <w:r>
        <w:rPr>
          <w:rFonts w:hint="eastAsia" w:ascii="Times New Roman" w:hAnsi="Times New Roman" w:eastAsia="仿宋_GB2312"/>
          <w:color w:val="000000"/>
          <w:sz w:val="32"/>
          <w:szCs w:val="32"/>
          <w:lang w:eastAsia="zh-CN"/>
        </w:rPr>
        <w:t>考试</w:t>
      </w:r>
      <w:r>
        <w:rPr>
          <w:rFonts w:ascii="Times New Roman" w:hAnsi="Times New Roman" w:eastAsia="仿宋_GB2312"/>
          <w:color w:val="000000"/>
          <w:sz w:val="32"/>
          <w:szCs w:val="32"/>
          <w:lang w:eastAsia="zh-CN"/>
        </w:rPr>
        <w:t>前14天每日健康监测中发现体温≥37.3℃或出现疑似症状，至</w:t>
      </w:r>
      <w:r>
        <w:rPr>
          <w:rFonts w:hint="eastAsia" w:ascii="Times New Roman" w:hAnsi="Times New Roman" w:eastAsia="仿宋_GB2312"/>
          <w:color w:val="000000"/>
          <w:sz w:val="32"/>
          <w:szCs w:val="32"/>
          <w:lang w:eastAsia="zh-CN"/>
        </w:rPr>
        <w:t>考试入场前</w:t>
      </w:r>
      <w:r>
        <w:rPr>
          <w:rFonts w:ascii="Times New Roman" w:hAnsi="Times New Roman" w:eastAsia="仿宋_GB2312"/>
          <w:color w:val="000000"/>
          <w:sz w:val="32"/>
          <w:szCs w:val="32"/>
          <w:lang w:eastAsia="zh-CN"/>
        </w:rPr>
        <w:t>未排除传染病或仍存在身体不适症状的；</w:t>
      </w:r>
    </w:p>
    <w:p>
      <w:pPr>
        <w:spacing w:line="560" w:lineRule="exact"/>
        <w:ind w:firstLine="640" w:firstLineChars="200"/>
        <w:rPr>
          <w:rFonts w:ascii="Times New Roman" w:hAnsi="Times New Roman" w:eastAsia="仿宋_GB2312"/>
          <w:color w:val="000000"/>
          <w:sz w:val="32"/>
          <w:szCs w:val="32"/>
          <w:lang w:eastAsia="zh-CN"/>
        </w:rPr>
      </w:pPr>
      <w:r>
        <w:rPr>
          <w:rFonts w:hint="eastAsia" w:ascii="宋体" w:hAnsi="宋体" w:eastAsia="宋体" w:cs="宋体"/>
          <w:sz w:val="32"/>
          <w:szCs w:val="32"/>
          <w:lang w:eastAsia="zh-CN"/>
        </w:rPr>
        <w:t>⑦</w:t>
      </w:r>
      <w:r>
        <w:rPr>
          <w:rFonts w:ascii="Times New Roman" w:hAnsi="Times New Roman" w:eastAsia="仿宋_GB2312"/>
          <w:color w:val="000000"/>
          <w:sz w:val="32"/>
          <w:szCs w:val="32"/>
          <w:lang w:eastAsia="zh-CN"/>
        </w:rPr>
        <w:t>健康码、行程卡非绿码，且无法排除异常情况的；</w:t>
      </w:r>
    </w:p>
    <w:p>
      <w:pPr>
        <w:spacing w:line="560" w:lineRule="exact"/>
        <w:ind w:firstLine="640" w:firstLineChars="200"/>
        <w:rPr>
          <w:rFonts w:ascii="Times New Roman" w:hAnsi="Times New Roman" w:eastAsia="仿宋_GB2312"/>
          <w:color w:val="000000"/>
          <w:sz w:val="32"/>
          <w:szCs w:val="32"/>
          <w:lang w:eastAsia="zh-CN"/>
        </w:rPr>
      </w:pPr>
      <w:r>
        <w:rPr>
          <w:rFonts w:hint="eastAsia" w:ascii="宋体" w:hAnsi="宋体" w:eastAsia="宋体" w:cs="宋体"/>
          <w:sz w:val="32"/>
          <w:szCs w:val="32"/>
          <w:lang w:eastAsia="zh-CN"/>
        </w:rPr>
        <w:t>⑧</w:t>
      </w:r>
      <w:r>
        <w:rPr>
          <w:rFonts w:ascii="Times New Roman" w:hAnsi="Times New Roman" w:eastAsia="仿宋_GB2312"/>
          <w:color w:val="000000"/>
          <w:sz w:val="32"/>
          <w:szCs w:val="32"/>
          <w:lang w:eastAsia="zh-CN"/>
        </w:rPr>
        <w:t>其他认为不适宜参会情况的。</w:t>
      </w:r>
    </w:p>
    <w:p>
      <w:pPr>
        <w:widowControl/>
        <w:shd w:val="clear" w:color="auto" w:fill="FFFFFF"/>
        <w:spacing w:line="560" w:lineRule="exact"/>
        <w:ind w:firstLine="600"/>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lang w:eastAsia="zh-CN"/>
        </w:rPr>
        <w:t>（6）根据疫情防控管理相关要求，社会车辆禁止进入考点，考生不能提前进入考点熟悉考场。请考生尽量选择车辆接送或公共交通出行，建议至少在考前1小时到达考点，自觉配合完成检测流程后从规定通道验证入场，逾期到场失去参加考试资格或耽误考试时间的，责任自负。</w:t>
      </w:r>
    </w:p>
    <w:p>
      <w:pPr>
        <w:spacing w:line="560" w:lineRule="exact"/>
        <w:ind w:firstLine="640" w:firstLineChars="200"/>
        <w:jc w:val="both"/>
        <w:rPr>
          <w:rFonts w:ascii="Times New Roman" w:hAnsi="Times New Roman" w:eastAsia="仿宋_GB2312" w:cs="Times New Roman"/>
          <w:color w:val="000000" w:themeColor="text1"/>
          <w:sz w:val="32"/>
          <w:szCs w:val="32"/>
          <w:lang w:eastAsia="zh-CN"/>
          <w14:textFill>
            <w14:solidFill>
              <w14:schemeClr w14:val="tx1"/>
            </w14:solidFill>
          </w14:textFill>
        </w:rPr>
      </w:pPr>
      <w:r>
        <w:rPr>
          <w:rFonts w:ascii="Times New Roman" w:hAnsi="Times New Roman" w:eastAsia="仿宋_GB2312" w:cs="Times New Roman"/>
          <w:color w:val="000000" w:themeColor="text1"/>
          <w:sz w:val="32"/>
          <w:szCs w:val="32"/>
          <w:lang w:eastAsia="zh-CN"/>
          <w14:textFill>
            <w14:solidFill>
              <w14:schemeClr w14:val="tx1"/>
            </w14:solidFill>
          </w14:textFill>
        </w:rPr>
        <w:t>（三）其他注意事项</w:t>
      </w:r>
    </w:p>
    <w:p>
      <w:pPr>
        <w:widowControl/>
        <w:shd w:val="clear" w:color="auto" w:fill="FFFFFF"/>
        <w:spacing w:line="560" w:lineRule="exact"/>
        <w:ind w:firstLine="600"/>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lang w:eastAsia="zh-CN"/>
        </w:rPr>
        <w:t>1.建议考生按照“应接尽接”原则完成疫苗接种。</w:t>
      </w:r>
    </w:p>
    <w:p>
      <w:pPr>
        <w:widowControl/>
        <w:shd w:val="clear" w:color="auto" w:fill="FFFFFF"/>
        <w:spacing w:line="560" w:lineRule="exact"/>
        <w:ind w:firstLine="600"/>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lang w:eastAsia="zh-CN"/>
        </w:rPr>
        <w:t>2.考生应当切实增强疫情防控意识，做好个人防护，考试前主动减少外出和不必要的聚集、人员接触。乘坐公共交通工具时应戴口罩，要加强途中防护，尽量与他人保持合理间距，途中尽量避免用手触摸公共交通工具上的物品，并及时进行手部清洁消毒。</w:t>
      </w:r>
    </w:p>
    <w:p>
      <w:pPr>
        <w:widowControl/>
        <w:shd w:val="clear" w:color="auto" w:fill="FFFFFF"/>
        <w:spacing w:line="560" w:lineRule="exact"/>
        <w:ind w:firstLine="600"/>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lang w:eastAsia="zh-CN"/>
        </w:rPr>
        <w:t>3.招聘单位在组织报名资格复审、实践技能操作、面试和体检等工作时，将按有关规定落实疫情防控要求，请广大考生理解并予以配合。</w:t>
      </w:r>
    </w:p>
    <w:p>
      <w:pPr>
        <w:widowControl/>
        <w:shd w:val="clear" w:color="auto" w:fill="FFFFFF"/>
        <w:spacing w:line="560" w:lineRule="exact"/>
        <w:ind w:firstLine="600"/>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lang w:eastAsia="zh-CN"/>
        </w:rPr>
        <w:t>4.请考生持续关注新冠肺炎疫情动态金华市疫情防控最新要求，考前如有新的调整和要求，将另行告知。</w:t>
      </w:r>
    </w:p>
    <w:p>
      <w:pPr>
        <w:widowControl/>
        <w:shd w:val="clear" w:color="auto" w:fill="FFFFFF"/>
        <w:spacing w:line="560" w:lineRule="exact"/>
        <w:ind w:firstLine="6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5.金华市疫情防控咨询电话。</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68"/>
        <w:gridCol w:w="4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8" w:type="dxa"/>
          </w:tcPr>
          <w:p>
            <w:pPr>
              <w:widowControl/>
              <w:spacing w:line="560" w:lineRule="exact"/>
              <w:jc w:val="center"/>
              <w:rPr>
                <w:rFonts w:ascii="Times New Roman" w:hAnsi="Times New Roman" w:eastAsia="仿宋_GB2312" w:cs="Times New Roman"/>
                <w:b/>
                <w:sz w:val="32"/>
                <w:szCs w:val="32"/>
                <w:lang w:eastAsia="zh-CN"/>
              </w:rPr>
            </w:pPr>
            <w:r>
              <w:rPr>
                <w:rFonts w:hint="eastAsia" w:ascii="Times New Roman" w:hAnsi="Times New Roman" w:eastAsia="仿宋_GB2312" w:cs="Times New Roman"/>
                <w:b/>
                <w:sz w:val="32"/>
                <w:szCs w:val="32"/>
                <w:lang w:eastAsia="zh-CN"/>
              </w:rPr>
              <w:t>各县（市、区）</w:t>
            </w:r>
          </w:p>
        </w:tc>
        <w:tc>
          <w:tcPr>
            <w:tcW w:w="4369" w:type="dxa"/>
          </w:tcPr>
          <w:p>
            <w:pPr>
              <w:widowControl/>
              <w:spacing w:line="560" w:lineRule="exact"/>
              <w:jc w:val="center"/>
              <w:rPr>
                <w:rFonts w:ascii="Times New Roman" w:hAnsi="Times New Roman" w:eastAsia="仿宋_GB2312" w:cs="Times New Roman"/>
                <w:b/>
                <w:sz w:val="32"/>
                <w:szCs w:val="32"/>
                <w:lang w:eastAsia="zh-CN"/>
              </w:rPr>
            </w:pPr>
            <w:r>
              <w:rPr>
                <w:rFonts w:hint="eastAsia" w:ascii="Times New Roman" w:hAnsi="Times New Roman" w:eastAsia="仿宋_GB2312" w:cs="Times New Roman"/>
                <w:b/>
                <w:sz w:val="32"/>
                <w:szCs w:val="32"/>
                <w:lang w:eastAsia="zh-CN"/>
              </w:rPr>
              <w:t>电话号码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8" w:type="dxa"/>
            <w:vAlign w:val="center"/>
          </w:tcPr>
          <w:p>
            <w:pPr>
              <w:widowControl/>
              <w:spacing w:line="400" w:lineRule="exact"/>
              <w:jc w:val="center"/>
              <w:rPr>
                <w:rFonts w:ascii="Times New Roman" w:hAnsi="Times New Roman" w:eastAsia="仿宋_GB2312" w:cs="Times New Roman"/>
                <w:sz w:val="28"/>
                <w:szCs w:val="32"/>
                <w:lang w:eastAsia="zh-CN"/>
              </w:rPr>
            </w:pPr>
            <w:r>
              <w:rPr>
                <w:rFonts w:hint="eastAsia" w:ascii="Times New Roman" w:hAnsi="Times New Roman" w:eastAsia="仿宋_GB2312" w:cs="Times New Roman"/>
                <w:sz w:val="28"/>
                <w:szCs w:val="32"/>
                <w:lang w:eastAsia="zh-CN"/>
              </w:rPr>
              <w:t>婺城区防控办</w:t>
            </w:r>
          </w:p>
        </w:tc>
        <w:tc>
          <w:tcPr>
            <w:tcW w:w="4369" w:type="dxa"/>
            <w:vAlign w:val="center"/>
          </w:tcPr>
          <w:p>
            <w:pPr>
              <w:widowControl/>
              <w:spacing w:line="400" w:lineRule="exact"/>
              <w:jc w:val="center"/>
              <w:rPr>
                <w:rFonts w:ascii="Times New Roman" w:hAnsi="Times New Roman" w:eastAsia="仿宋_GB2312" w:cs="Times New Roman"/>
                <w:sz w:val="28"/>
                <w:szCs w:val="32"/>
                <w:lang w:eastAsia="zh-CN"/>
              </w:rPr>
            </w:pPr>
            <w:r>
              <w:rPr>
                <w:rFonts w:hint="eastAsia" w:ascii="Times New Roman" w:hAnsi="Times New Roman" w:eastAsia="仿宋_GB2312" w:cs="Times New Roman"/>
                <w:sz w:val="28"/>
                <w:szCs w:val="32"/>
                <w:lang w:eastAsia="zh-CN"/>
              </w:rPr>
              <w:t>0579-82220802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8" w:type="dxa"/>
            <w:vAlign w:val="center"/>
          </w:tcPr>
          <w:p>
            <w:pPr>
              <w:widowControl/>
              <w:spacing w:line="400" w:lineRule="exact"/>
              <w:jc w:val="center"/>
              <w:rPr>
                <w:rFonts w:ascii="Times New Roman" w:hAnsi="Times New Roman" w:eastAsia="仿宋_GB2312" w:cs="Times New Roman"/>
                <w:sz w:val="28"/>
                <w:szCs w:val="32"/>
                <w:lang w:eastAsia="zh-CN"/>
              </w:rPr>
            </w:pPr>
            <w:r>
              <w:rPr>
                <w:rFonts w:hint="eastAsia" w:ascii="Times New Roman" w:hAnsi="Times New Roman" w:eastAsia="仿宋_GB2312" w:cs="Times New Roman"/>
                <w:sz w:val="28"/>
                <w:szCs w:val="32"/>
                <w:lang w:eastAsia="zh-CN"/>
              </w:rPr>
              <w:t>金东区防控办</w:t>
            </w:r>
          </w:p>
        </w:tc>
        <w:tc>
          <w:tcPr>
            <w:tcW w:w="4369" w:type="dxa"/>
            <w:vAlign w:val="center"/>
          </w:tcPr>
          <w:p>
            <w:pPr>
              <w:widowControl/>
              <w:spacing w:line="400" w:lineRule="exact"/>
              <w:jc w:val="center"/>
              <w:rPr>
                <w:rFonts w:ascii="Times New Roman" w:hAnsi="Times New Roman" w:eastAsia="仿宋_GB2312" w:cs="Times New Roman"/>
                <w:sz w:val="28"/>
                <w:szCs w:val="32"/>
                <w:lang w:eastAsia="zh-CN"/>
              </w:rPr>
            </w:pPr>
            <w:r>
              <w:rPr>
                <w:rFonts w:hint="eastAsia" w:ascii="Times New Roman" w:hAnsi="Times New Roman" w:eastAsia="仿宋_GB2312" w:cs="Times New Roman"/>
                <w:sz w:val="28"/>
                <w:szCs w:val="32"/>
                <w:lang w:eastAsia="zh-CN"/>
              </w:rPr>
              <w:t>0579-82176739、</w:t>
            </w:r>
          </w:p>
          <w:p>
            <w:pPr>
              <w:widowControl/>
              <w:spacing w:line="400" w:lineRule="exact"/>
              <w:jc w:val="center"/>
              <w:rPr>
                <w:rFonts w:ascii="Times New Roman" w:hAnsi="Times New Roman" w:eastAsia="仿宋_GB2312" w:cs="Times New Roman"/>
                <w:sz w:val="28"/>
                <w:szCs w:val="32"/>
                <w:lang w:eastAsia="zh-CN"/>
              </w:rPr>
            </w:pPr>
            <w:r>
              <w:rPr>
                <w:rFonts w:hint="eastAsia" w:ascii="Times New Roman" w:hAnsi="Times New Roman" w:eastAsia="仿宋_GB2312" w:cs="Times New Roman"/>
                <w:sz w:val="28"/>
                <w:szCs w:val="32"/>
                <w:lang w:eastAsia="zh-CN"/>
              </w:rPr>
              <w:t>82181015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8" w:type="dxa"/>
            <w:vAlign w:val="center"/>
          </w:tcPr>
          <w:p>
            <w:pPr>
              <w:widowControl/>
              <w:spacing w:line="400" w:lineRule="exact"/>
              <w:jc w:val="center"/>
              <w:rPr>
                <w:rFonts w:ascii="Times New Roman" w:hAnsi="Times New Roman" w:eastAsia="仿宋_GB2312" w:cs="Times New Roman"/>
                <w:sz w:val="28"/>
                <w:szCs w:val="32"/>
                <w:lang w:eastAsia="zh-CN"/>
              </w:rPr>
            </w:pPr>
            <w:r>
              <w:rPr>
                <w:rFonts w:hint="eastAsia" w:ascii="Times New Roman" w:hAnsi="Times New Roman" w:eastAsia="仿宋_GB2312" w:cs="Times New Roman"/>
                <w:sz w:val="28"/>
                <w:szCs w:val="32"/>
                <w:lang w:eastAsia="zh-CN"/>
              </w:rPr>
              <w:t>兰溪市防控办</w:t>
            </w:r>
          </w:p>
        </w:tc>
        <w:tc>
          <w:tcPr>
            <w:tcW w:w="4369" w:type="dxa"/>
            <w:vAlign w:val="center"/>
          </w:tcPr>
          <w:p>
            <w:pPr>
              <w:widowControl/>
              <w:spacing w:line="400" w:lineRule="exact"/>
              <w:jc w:val="center"/>
              <w:rPr>
                <w:rFonts w:ascii="Times New Roman" w:hAnsi="Times New Roman" w:eastAsia="仿宋_GB2312" w:cs="Times New Roman"/>
                <w:sz w:val="28"/>
                <w:szCs w:val="32"/>
                <w:lang w:eastAsia="zh-CN"/>
              </w:rPr>
            </w:pPr>
            <w:r>
              <w:rPr>
                <w:rFonts w:hint="eastAsia" w:ascii="Times New Roman" w:hAnsi="Times New Roman" w:eastAsia="仿宋_GB2312" w:cs="Times New Roman"/>
                <w:sz w:val="28"/>
                <w:szCs w:val="32"/>
                <w:lang w:eastAsia="zh-CN"/>
              </w:rPr>
              <w:t>0579-88397192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8" w:type="dxa"/>
            <w:vAlign w:val="center"/>
          </w:tcPr>
          <w:p>
            <w:pPr>
              <w:widowControl/>
              <w:spacing w:line="400" w:lineRule="exact"/>
              <w:jc w:val="center"/>
              <w:rPr>
                <w:rFonts w:ascii="Times New Roman" w:hAnsi="Times New Roman" w:eastAsia="仿宋_GB2312" w:cs="Times New Roman"/>
                <w:sz w:val="28"/>
                <w:szCs w:val="32"/>
                <w:lang w:eastAsia="zh-CN"/>
              </w:rPr>
            </w:pPr>
            <w:r>
              <w:rPr>
                <w:rFonts w:hint="eastAsia" w:ascii="Times New Roman" w:hAnsi="Times New Roman" w:eastAsia="仿宋_GB2312" w:cs="Times New Roman"/>
                <w:sz w:val="28"/>
                <w:szCs w:val="32"/>
                <w:lang w:eastAsia="zh-CN"/>
              </w:rPr>
              <w:t>东阳市防控办</w:t>
            </w:r>
          </w:p>
        </w:tc>
        <w:tc>
          <w:tcPr>
            <w:tcW w:w="4369" w:type="dxa"/>
            <w:vAlign w:val="center"/>
          </w:tcPr>
          <w:p>
            <w:pPr>
              <w:widowControl/>
              <w:spacing w:line="400" w:lineRule="exact"/>
              <w:jc w:val="center"/>
              <w:rPr>
                <w:rFonts w:ascii="Times New Roman" w:hAnsi="Times New Roman" w:eastAsia="仿宋_GB2312" w:cs="Times New Roman"/>
                <w:sz w:val="28"/>
                <w:szCs w:val="32"/>
                <w:lang w:eastAsia="zh-CN"/>
              </w:rPr>
            </w:pPr>
            <w:r>
              <w:rPr>
                <w:rFonts w:hint="eastAsia" w:ascii="Times New Roman" w:hAnsi="Times New Roman" w:eastAsia="仿宋_GB2312" w:cs="Times New Roman"/>
                <w:sz w:val="28"/>
                <w:szCs w:val="32"/>
                <w:lang w:eastAsia="zh-CN"/>
              </w:rPr>
              <w:t>0579-86358890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8" w:type="dxa"/>
            <w:vAlign w:val="center"/>
          </w:tcPr>
          <w:p>
            <w:pPr>
              <w:widowControl/>
              <w:spacing w:line="400" w:lineRule="exact"/>
              <w:jc w:val="center"/>
              <w:rPr>
                <w:rFonts w:ascii="Times New Roman" w:hAnsi="Times New Roman" w:eastAsia="仿宋_GB2312" w:cs="Times New Roman"/>
                <w:sz w:val="28"/>
                <w:szCs w:val="32"/>
                <w:lang w:eastAsia="zh-CN"/>
              </w:rPr>
            </w:pPr>
            <w:r>
              <w:rPr>
                <w:rFonts w:hint="eastAsia" w:ascii="Times New Roman" w:hAnsi="Times New Roman" w:eastAsia="仿宋_GB2312" w:cs="Times New Roman"/>
                <w:sz w:val="28"/>
                <w:szCs w:val="32"/>
                <w:lang w:eastAsia="zh-CN"/>
              </w:rPr>
              <w:t>义乌市防控办</w:t>
            </w:r>
          </w:p>
        </w:tc>
        <w:tc>
          <w:tcPr>
            <w:tcW w:w="4369" w:type="dxa"/>
            <w:vAlign w:val="center"/>
          </w:tcPr>
          <w:p>
            <w:pPr>
              <w:widowControl/>
              <w:spacing w:line="400" w:lineRule="exact"/>
              <w:jc w:val="center"/>
              <w:rPr>
                <w:rFonts w:ascii="Times New Roman" w:hAnsi="Times New Roman" w:eastAsia="仿宋_GB2312" w:cs="Times New Roman"/>
                <w:sz w:val="28"/>
                <w:szCs w:val="32"/>
                <w:lang w:eastAsia="zh-CN"/>
              </w:rPr>
            </w:pPr>
            <w:r>
              <w:rPr>
                <w:rFonts w:hint="eastAsia" w:ascii="Times New Roman" w:hAnsi="Times New Roman" w:eastAsia="仿宋_GB2312" w:cs="Times New Roman"/>
                <w:sz w:val="28"/>
                <w:szCs w:val="32"/>
                <w:lang w:eastAsia="zh-CN"/>
              </w:rPr>
              <w:t>0579-85539123、</w:t>
            </w:r>
          </w:p>
          <w:p>
            <w:pPr>
              <w:widowControl/>
              <w:spacing w:line="400" w:lineRule="exact"/>
              <w:jc w:val="center"/>
              <w:rPr>
                <w:rFonts w:ascii="Times New Roman" w:hAnsi="Times New Roman" w:eastAsia="仿宋_GB2312" w:cs="Times New Roman"/>
                <w:sz w:val="28"/>
                <w:szCs w:val="32"/>
                <w:lang w:eastAsia="zh-CN"/>
              </w:rPr>
            </w:pPr>
            <w:r>
              <w:rPr>
                <w:rFonts w:hint="eastAsia" w:ascii="Times New Roman" w:hAnsi="Times New Roman" w:eastAsia="仿宋_GB2312" w:cs="Times New Roman"/>
                <w:sz w:val="28"/>
                <w:szCs w:val="32"/>
                <w:lang w:eastAsia="zh-CN"/>
              </w:rPr>
              <w:t>85532860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8" w:type="dxa"/>
            <w:vAlign w:val="center"/>
          </w:tcPr>
          <w:p>
            <w:pPr>
              <w:widowControl/>
              <w:spacing w:line="400" w:lineRule="exact"/>
              <w:jc w:val="center"/>
              <w:rPr>
                <w:rFonts w:ascii="Times New Roman" w:hAnsi="Times New Roman" w:eastAsia="仿宋_GB2312" w:cs="Times New Roman"/>
                <w:sz w:val="28"/>
                <w:szCs w:val="32"/>
                <w:lang w:eastAsia="zh-CN"/>
              </w:rPr>
            </w:pPr>
            <w:r>
              <w:rPr>
                <w:rFonts w:hint="eastAsia" w:ascii="Times New Roman" w:hAnsi="Times New Roman" w:eastAsia="仿宋_GB2312" w:cs="Times New Roman"/>
                <w:sz w:val="28"/>
                <w:szCs w:val="32"/>
                <w:lang w:eastAsia="zh-CN"/>
              </w:rPr>
              <w:t>永康市防控办</w:t>
            </w:r>
          </w:p>
        </w:tc>
        <w:tc>
          <w:tcPr>
            <w:tcW w:w="4369" w:type="dxa"/>
            <w:vAlign w:val="center"/>
          </w:tcPr>
          <w:p>
            <w:pPr>
              <w:widowControl/>
              <w:spacing w:line="400" w:lineRule="exact"/>
              <w:jc w:val="center"/>
              <w:rPr>
                <w:rFonts w:ascii="Times New Roman" w:hAnsi="Times New Roman" w:eastAsia="仿宋_GB2312" w:cs="Times New Roman"/>
                <w:sz w:val="28"/>
                <w:szCs w:val="32"/>
                <w:lang w:eastAsia="zh-CN"/>
              </w:rPr>
            </w:pPr>
            <w:r>
              <w:rPr>
                <w:rFonts w:hint="eastAsia" w:ascii="Times New Roman" w:hAnsi="Times New Roman" w:eastAsia="仿宋_GB2312" w:cs="Times New Roman"/>
                <w:sz w:val="28"/>
                <w:szCs w:val="32"/>
                <w:lang w:eastAsia="zh-CN"/>
              </w:rPr>
              <w:t>0579-87111007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8" w:type="dxa"/>
            <w:vAlign w:val="center"/>
          </w:tcPr>
          <w:p>
            <w:pPr>
              <w:widowControl/>
              <w:spacing w:line="400" w:lineRule="exact"/>
              <w:jc w:val="center"/>
              <w:rPr>
                <w:rFonts w:ascii="Times New Roman" w:hAnsi="Times New Roman" w:eastAsia="仿宋_GB2312" w:cs="Times New Roman"/>
                <w:sz w:val="28"/>
                <w:szCs w:val="32"/>
                <w:lang w:eastAsia="zh-CN"/>
              </w:rPr>
            </w:pPr>
            <w:r>
              <w:rPr>
                <w:rFonts w:hint="eastAsia" w:ascii="Times New Roman" w:hAnsi="Times New Roman" w:eastAsia="仿宋_GB2312" w:cs="Times New Roman"/>
                <w:sz w:val="28"/>
                <w:szCs w:val="32"/>
                <w:lang w:eastAsia="zh-CN"/>
              </w:rPr>
              <w:t>浦江县防控办</w:t>
            </w:r>
          </w:p>
        </w:tc>
        <w:tc>
          <w:tcPr>
            <w:tcW w:w="4369" w:type="dxa"/>
            <w:vAlign w:val="center"/>
          </w:tcPr>
          <w:p>
            <w:pPr>
              <w:widowControl/>
              <w:spacing w:line="400" w:lineRule="exact"/>
              <w:jc w:val="center"/>
              <w:rPr>
                <w:rFonts w:ascii="Times New Roman" w:hAnsi="Times New Roman" w:eastAsia="仿宋_GB2312" w:cs="Times New Roman"/>
                <w:sz w:val="28"/>
                <w:szCs w:val="32"/>
                <w:lang w:eastAsia="zh-CN"/>
              </w:rPr>
            </w:pPr>
            <w:r>
              <w:rPr>
                <w:rFonts w:hint="eastAsia" w:ascii="Times New Roman" w:hAnsi="Times New Roman" w:eastAsia="仿宋_GB2312" w:cs="Times New Roman"/>
                <w:sz w:val="28"/>
                <w:szCs w:val="32"/>
                <w:lang w:eastAsia="zh-CN"/>
              </w:rPr>
              <w:t>0579-89395056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8" w:type="dxa"/>
            <w:vAlign w:val="center"/>
          </w:tcPr>
          <w:p>
            <w:pPr>
              <w:widowControl/>
              <w:spacing w:line="400" w:lineRule="exact"/>
              <w:jc w:val="center"/>
              <w:rPr>
                <w:rFonts w:ascii="Times New Roman" w:hAnsi="Times New Roman" w:eastAsia="仿宋_GB2312" w:cs="Times New Roman"/>
                <w:sz w:val="28"/>
                <w:szCs w:val="32"/>
                <w:lang w:eastAsia="zh-CN"/>
              </w:rPr>
            </w:pPr>
            <w:r>
              <w:rPr>
                <w:rFonts w:hint="eastAsia" w:ascii="Times New Roman" w:hAnsi="Times New Roman" w:eastAsia="仿宋_GB2312" w:cs="Times New Roman"/>
                <w:sz w:val="28"/>
                <w:szCs w:val="32"/>
                <w:lang w:eastAsia="zh-CN"/>
              </w:rPr>
              <w:t>武义县防控办</w:t>
            </w:r>
          </w:p>
        </w:tc>
        <w:tc>
          <w:tcPr>
            <w:tcW w:w="4369" w:type="dxa"/>
            <w:vAlign w:val="center"/>
          </w:tcPr>
          <w:p>
            <w:pPr>
              <w:widowControl/>
              <w:spacing w:line="400" w:lineRule="exact"/>
              <w:jc w:val="center"/>
              <w:rPr>
                <w:rFonts w:ascii="Times New Roman" w:hAnsi="Times New Roman" w:eastAsia="仿宋_GB2312" w:cs="Times New Roman"/>
                <w:sz w:val="28"/>
                <w:szCs w:val="32"/>
                <w:lang w:eastAsia="zh-CN"/>
              </w:rPr>
            </w:pPr>
            <w:r>
              <w:rPr>
                <w:rFonts w:hint="eastAsia" w:ascii="Times New Roman" w:hAnsi="Times New Roman" w:eastAsia="仿宋_GB2312" w:cs="Times New Roman"/>
                <w:sz w:val="28"/>
                <w:szCs w:val="32"/>
                <w:lang w:eastAsia="zh-CN"/>
              </w:rPr>
              <w:t>0579-87606306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8" w:type="dxa"/>
            <w:vAlign w:val="center"/>
          </w:tcPr>
          <w:p>
            <w:pPr>
              <w:widowControl/>
              <w:spacing w:line="400" w:lineRule="exact"/>
              <w:jc w:val="center"/>
              <w:rPr>
                <w:rFonts w:ascii="Times New Roman" w:hAnsi="Times New Roman" w:eastAsia="仿宋_GB2312" w:cs="Times New Roman"/>
                <w:sz w:val="28"/>
                <w:szCs w:val="32"/>
                <w:lang w:eastAsia="zh-CN"/>
              </w:rPr>
            </w:pPr>
            <w:r>
              <w:rPr>
                <w:rFonts w:hint="eastAsia" w:ascii="Times New Roman" w:hAnsi="Times New Roman" w:eastAsia="仿宋_GB2312" w:cs="Times New Roman"/>
                <w:sz w:val="28"/>
                <w:szCs w:val="32"/>
                <w:lang w:eastAsia="zh-CN"/>
              </w:rPr>
              <w:t>磐安县防控办</w:t>
            </w:r>
          </w:p>
        </w:tc>
        <w:tc>
          <w:tcPr>
            <w:tcW w:w="4369" w:type="dxa"/>
            <w:vAlign w:val="center"/>
          </w:tcPr>
          <w:p>
            <w:pPr>
              <w:widowControl/>
              <w:spacing w:line="400" w:lineRule="exact"/>
              <w:jc w:val="center"/>
              <w:rPr>
                <w:rFonts w:ascii="Times New Roman" w:hAnsi="Times New Roman" w:eastAsia="仿宋_GB2312" w:cs="Times New Roman"/>
                <w:sz w:val="28"/>
                <w:szCs w:val="32"/>
                <w:lang w:eastAsia="zh-CN"/>
              </w:rPr>
            </w:pPr>
            <w:r>
              <w:rPr>
                <w:rFonts w:hint="eastAsia" w:ascii="Times New Roman" w:hAnsi="Times New Roman" w:eastAsia="仿宋_GB2312" w:cs="Times New Roman"/>
                <w:sz w:val="28"/>
                <w:szCs w:val="32"/>
                <w:lang w:eastAsia="zh-CN"/>
              </w:rPr>
              <w:t>0579-84662982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8" w:type="dxa"/>
            <w:vAlign w:val="center"/>
          </w:tcPr>
          <w:p>
            <w:pPr>
              <w:widowControl/>
              <w:spacing w:line="400" w:lineRule="exact"/>
              <w:jc w:val="center"/>
              <w:rPr>
                <w:rFonts w:ascii="Times New Roman" w:hAnsi="Times New Roman" w:eastAsia="仿宋_GB2312" w:cs="Times New Roman"/>
                <w:sz w:val="28"/>
                <w:szCs w:val="32"/>
                <w:lang w:eastAsia="zh-CN"/>
              </w:rPr>
            </w:pPr>
            <w:r>
              <w:rPr>
                <w:rFonts w:hint="eastAsia" w:ascii="Times New Roman" w:hAnsi="Times New Roman" w:eastAsia="仿宋_GB2312" w:cs="Times New Roman"/>
                <w:sz w:val="28"/>
                <w:szCs w:val="32"/>
                <w:lang w:eastAsia="zh-CN"/>
              </w:rPr>
              <w:t>金华开发区防控办</w:t>
            </w:r>
          </w:p>
        </w:tc>
        <w:tc>
          <w:tcPr>
            <w:tcW w:w="4369" w:type="dxa"/>
            <w:vAlign w:val="center"/>
          </w:tcPr>
          <w:p>
            <w:pPr>
              <w:widowControl/>
              <w:spacing w:line="400" w:lineRule="exact"/>
              <w:jc w:val="center"/>
              <w:rPr>
                <w:rFonts w:ascii="Times New Roman" w:hAnsi="Times New Roman" w:eastAsia="仿宋_GB2312" w:cs="Times New Roman"/>
                <w:sz w:val="28"/>
                <w:szCs w:val="32"/>
                <w:lang w:eastAsia="zh-CN"/>
              </w:rPr>
            </w:pPr>
            <w:r>
              <w:rPr>
                <w:rFonts w:hint="eastAsia" w:ascii="Times New Roman" w:hAnsi="Times New Roman" w:eastAsia="仿宋_GB2312" w:cs="Times New Roman"/>
                <w:sz w:val="28"/>
                <w:szCs w:val="32"/>
                <w:lang w:eastAsia="zh-CN"/>
              </w:rPr>
              <w:t>0579-89150008</w:t>
            </w:r>
          </w:p>
        </w:tc>
      </w:tr>
    </w:tbl>
    <w:p>
      <w:pPr>
        <w:widowControl/>
        <w:shd w:val="clear" w:color="auto" w:fill="FFFFFF"/>
        <w:spacing w:line="560" w:lineRule="exact"/>
        <w:rPr>
          <w:rFonts w:ascii="Times New Roman" w:hAnsi="Times New Roman" w:cs="Times New Roman"/>
          <w:sz w:val="32"/>
          <w:szCs w:val="32"/>
          <w:lang w:eastAsia="zh-CN"/>
        </w:rPr>
      </w:pPr>
    </w:p>
    <w:sectPr>
      <w:pgSz w:w="11906" w:h="16838"/>
      <w:pgMar w:top="1440" w:right="1797" w:bottom="1440"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4C46"/>
    <w:rsid w:val="000F3CE5"/>
    <w:rsid w:val="003041EC"/>
    <w:rsid w:val="00352806"/>
    <w:rsid w:val="00516CA8"/>
    <w:rsid w:val="005171F6"/>
    <w:rsid w:val="005576EF"/>
    <w:rsid w:val="00621457"/>
    <w:rsid w:val="007A11D1"/>
    <w:rsid w:val="007C3B90"/>
    <w:rsid w:val="007D70A8"/>
    <w:rsid w:val="00836413"/>
    <w:rsid w:val="008464D6"/>
    <w:rsid w:val="00952566"/>
    <w:rsid w:val="00AB4C46"/>
    <w:rsid w:val="00AD626E"/>
    <w:rsid w:val="00AE1910"/>
    <w:rsid w:val="00AF7599"/>
    <w:rsid w:val="00ED5E45"/>
    <w:rsid w:val="4BC51C1C"/>
    <w:rsid w:val="4C72322B"/>
    <w:rsid w:val="FFBB255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pPr>
    <w:rPr>
      <w:rFonts w:asciiTheme="minorHAnsi" w:hAnsiTheme="minorHAnsi" w:eastAsiaTheme="minorEastAsia" w:cstheme="minorBidi"/>
      <w:sz w:val="22"/>
      <w:szCs w:val="22"/>
      <w:lang w:val="en-US" w:eastAsia="en-US"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pPr>
    <w:rPr>
      <w:kern w:val="2"/>
      <w:sz w:val="18"/>
      <w:szCs w:val="18"/>
      <w:lang w:eastAsia="zh-CN"/>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kern w:val="2"/>
      <w:sz w:val="18"/>
      <w:szCs w:val="18"/>
      <w:lang w:eastAsia="zh-CN"/>
    </w:rPr>
  </w:style>
  <w:style w:type="paragraph" w:styleId="4">
    <w:name w:val="Normal (Web)"/>
    <w:basedOn w:val="1"/>
    <w:unhideWhenUsed/>
    <w:qFormat/>
    <w:uiPriority w:val="99"/>
    <w:pPr>
      <w:widowControl/>
      <w:spacing w:before="100" w:beforeAutospacing="1" w:after="100" w:afterAutospacing="1"/>
    </w:pPr>
    <w:rPr>
      <w:rFonts w:ascii="宋体" w:hAnsi="宋体" w:eastAsia="宋体" w:cs="宋体"/>
      <w:sz w:val="24"/>
      <w:szCs w:val="24"/>
      <w:lang w:eastAsia="zh-CN"/>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22"/>
    <w:rPr>
      <w:b/>
      <w:bCs/>
    </w:rPr>
  </w:style>
  <w:style w:type="character" w:customStyle="1" w:styleId="9">
    <w:name w:val="页眉 Char"/>
    <w:basedOn w:val="7"/>
    <w:link w:val="3"/>
    <w:qFormat/>
    <w:uiPriority w:val="99"/>
    <w:rPr>
      <w:sz w:val="18"/>
      <w:szCs w:val="18"/>
    </w:rPr>
  </w:style>
  <w:style w:type="character" w:customStyle="1" w:styleId="10">
    <w:name w:val="页脚 Char"/>
    <w:basedOn w:val="7"/>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1769</Words>
  <Characters>1925</Characters>
  <Lines>14</Lines>
  <Paragraphs>4</Paragraphs>
  <TotalTime>70</TotalTime>
  <ScaleCrop>false</ScaleCrop>
  <LinksUpToDate>false</LinksUpToDate>
  <CharactersWithSpaces>1925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2022-03-30T19:56:00Z</dcterms:created>
  <dc:creator>杨丽行</dc:creator>
  <cp:lastModifiedBy>想一个酷酷的备注给你</cp:lastModifiedBy>
  <dcterms:modified xsi:type="dcterms:W3CDTF">2022-04-06T09:23:22Z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oTemplateTypoMode" linkTarget="0">
    <vt:lpwstr>web</vt:lpwstr>
  </property>
  <property fmtid="{D5CDD505-2E9C-101B-9397-08002B2CF9AE}" pid="3" name="woTemplate" linkTarget="0">
    <vt:i4>1</vt:i4>
  </property>
  <property fmtid="{D5CDD505-2E9C-101B-9397-08002B2CF9AE}" pid="4" name="KSOProductBuildVer">
    <vt:lpwstr>2052-11.1.0.11365</vt:lpwstr>
  </property>
  <property fmtid="{D5CDD505-2E9C-101B-9397-08002B2CF9AE}" pid="5" name="ICV">
    <vt:lpwstr>CA8DF20BDDD147E0BEBD5835977B1D95</vt:lpwstr>
  </property>
</Properties>
</file>