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textAlignment w:val="auto"/>
        <w:rPr>
          <w:rFonts w:hint="default" w:ascii="仿宋_GB2312" w:hAnsi="仿宋_GB2312" w:eastAsia="仿宋_GB2312" w:cs="仿宋_GB2312"/>
          <w:b w:val="0"/>
          <w:bCs w:val="0"/>
          <w:i w:val="0"/>
          <w:caps w:val="0"/>
          <w:color w:val="auto"/>
          <w:spacing w:val="0"/>
          <w:sz w:val="32"/>
          <w:szCs w:val="32"/>
          <w:highlight w:val="none"/>
          <w:lang w:val="en-US" w:eastAsia="zh-CN"/>
        </w:rPr>
      </w:pPr>
      <w:r>
        <w:rPr>
          <w:rFonts w:hint="eastAsia" w:ascii="仿宋_GB2312" w:hAnsi="仿宋_GB2312" w:eastAsia="仿宋_GB2312" w:cs="仿宋_GB2312"/>
          <w:b w:val="0"/>
          <w:bCs w:val="0"/>
          <w:i w:val="0"/>
          <w:caps w:val="0"/>
          <w:color w:val="auto"/>
          <w:spacing w:val="0"/>
          <w:sz w:val="32"/>
          <w:szCs w:val="32"/>
          <w:highlight w:val="none"/>
          <w:lang w:val="en-US" w:eastAsia="zh-CN"/>
        </w:rPr>
        <w:t>附件1：</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jc w:val="center"/>
        <w:textAlignment w:val="auto"/>
        <w:rPr>
          <w:rFonts w:hint="eastAsia" w:ascii="方正小标宋简体" w:hAnsi="方正小标宋简体" w:eastAsia="方正小标宋简体" w:cs="方正小标宋简体"/>
          <w:b w:val="0"/>
          <w:bCs w:val="0"/>
          <w:i w:val="0"/>
          <w:caps w:val="0"/>
          <w:color w:val="333333"/>
          <w:spacing w:val="15"/>
          <w:kern w:val="0"/>
          <w:sz w:val="44"/>
          <w:szCs w:val="44"/>
          <w:lang w:val="en-US" w:eastAsia="zh-CN" w:bidi="ar"/>
        </w:rPr>
      </w:pPr>
      <w:r>
        <w:rPr>
          <w:rFonts w:hint="eastAsia" w:ascii="方正小标宋简体" w:hAnsi="方正小标宋简体" w:eastAsia="方正小标宋简体" w:cs="方正小标宋简体"/>
          <w:b w:val="0"/>
          <w:bCs w:val="0"/>
          <w:i w:val="0"/>
          <w:caps w:val="0"/>
          <w:color w:val="333333"/>
          <w:spacing w:val="15"/>
          <w:kern w:val="0"/>
          <w:sz w:val="44"/>
          <w:szCs w:val="44"/>
          <w:lang w:val="en-US" w:eastAsia="zh-CN" w:bidi="ar"/>
        </w:rPr>
        <w:t>疫情防控须知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firstLine="480" w:firstLineChars="200"/>
        <w:textAlignment w:val="auto"/>
        <w:rPr>
          <w:rFonts w:hint="eastAsia" w:ascii="仿宋_GB2312" w:hAnsi="仿宋_GB2312" w:eastAsia="仿宋_GB2312" w:cs="仿宋_GB2312"/>
          <w:b w:val="0"/>
          <w:bCs w:val="0"/>
          <w:color w:val="auto"/>
          <w:spacing w:val="0"/>
          <w:sz w:val="24"/>
          <w:szCs w:val="24"/>
        </w:rPr>
      </w:pPr>
      <w:r>
        <w:rPr>
          <w:rFonts w:hint="eastAsia" w:ascii="仿宋_GB2312" w:hAnsi="仿宋_GB2312" w:eastAsia="仿宋_GB2312" w:cs="仿宋_GB2312"/>
          <w:b w:val="0"/>
          <w:bCs w:val="0"/>
          <w:i w:val="0"/>
          <w:caps w:val="0"/>
          <w:color w:val="000000"/>
          <w:spacing w:val="0"/>
          <w:sz w:val="24"/>
          <w:szCs w:val="24"/>
        </w:rPr>
        <w:t>1.</w:t>
      </w:r>
      <w:r>
        <w:rPr>
          <w:rFonts w:hint="default" w:ascii="仿宋_GB2312" w:hAnsi="仿宋_GB2312" w:eastAsia="仿宋_GB2312" w:cs="仿宋_GB2312"/>
          <w:b w:val="0"/>
          <w:bCs w:val="0"/>
          <w:i w:val="0"/>
          <w:caps w:val="0"/>
          <w:strike w:val="0"/>
          <w:dstrike w:val="0"/>
          <w:color w:val="000000"/>
          <w:spacing w:val="0"/>
          <w:sz w:val="24"/>
          <w:szCs w:val="24"/>
          <w:highlight w:val="none"/>
          <w:u w:val="none"/>
        </w:rPr>
        <w:t>1</w:t>
      </w:r>
      <w:r>
        <w:rPr>
          <w:rFonts w:hint="default" w:ascii="仿宋_GB2312" w:hAnsi="仿宋_GB2312" w:eastAsia="仿宋_GB2312" w:cs="仿宋_GB2312"/>
          <w:b w:val="0"/>
          <w:bCs w:val="0"/>
          <w:i w:val="0"/>
          <w:caps w:val="0"/>
          <w:strike w:val="0"/>
          <w:dstrike w:val="0"/>
          <w:color w:val="000000"/>
          <w:spacing w:val="0"/>
          <w:sz w:val="24"/>
          <w:szCs w:val="24"/>
          <w:highlight w:val="none"/>
        </w:rPr>
        <w:t>4天内</w:t>
      </w:r>
      <w:r>
        <w:rPr>
          <w:rFonts w:hint="eastAsia" w:ascii="仿宋_GB2312" w:hAnsi="仿宋_GB2312" w:eastAsia="仿宋_GB2312" w:cs="仿宋_GB2312"/>
          <w:b w:val="0"/>
          <w:bCs w:val="0"/>
          <w:i w:val="0"/>
          <w:caps w:val="0"/>
          <w:color w:val="000000"/>
          <w:spacing w:val="0"/>
          <w:sz w:val="24"/>
          <w:szCs w:val="24"/>
          <w:highlight w:val="none"/>
        </w:rPr>
        <w:t>有</w:t>
      </w:r>
      <w:r>
        <w:rPr>
          <w:rFonts w:hint="eastAsia" w:ascii="仿宋_GB2312" w:hAnsi="仿宋_GB2312" w:eastAsia="仿宋_GB2312" w:cs="仿宋_GB2312"/>
          <w:b w:val="0"/>
          <w:bCs w:val="0"/>
          <w:i w:val="0"/>
          <w:caps w:val="0"/>
          <w:color w:val="000000"/>
          <w:spacing w:val="0"/>
          <w:sz w:val="24"/>
          <w:szCs w:val="24"/>
          <w:highlight w:val="none"/>
          <w:lang w:val="en-US" w:eastAsia="zh-CN"/>
        </w:rPr>
        <w:t>宁波</w:t>
      </w:r>
      <w:r>
        <w:rPr>
          <w:rFonts w:hint="eastAsia" w:ascii="仿宋_GB2312" w:hAnsi="仿宋_GB2312" w:eastAsia="仿宋_GB2312" w:cs="仿宋_GB2312"/>
          <w:b w:val="0"/>
          <w:bCs w:val="0"/>
          <w:i w:val="0"/>
          <w:caps w:val="0"/>
          <w:color w:val="auto"/>
          <w:spacing w:val="0"/>
          <w:sz w:val="24"/>
          <w:szCs w:val="24"/>
          <w:highlight w:val="none"/>
          <w:lang w:val="en-US" w:eastAsia="zh-CN"/>
        </w:rPr>
        <w:t>大市外</w:t>
      </w:r>
      <w:r>
        <w:rPr>
          <w:rFonts w:hint="default" w:ascii="仿宋_GB2312" w:hAnsi="仿宋_GB2312" w:eastAsia="仿宋_GB2312" w:cs="仿宋_GB2312"/>
          <w:b w:val="0"/>
          <w:bCs w:val="0"/>
          <w:i w:val="0"/>
          <w:caps w:val="0"/>
          <w:color w:val="auto"/>
          <w:spacing w:val="0"/>
          <w:sz w:val="24"/>
          <w:szCs w:val="24"/>
          <w:highlight w:val="none"/>
          <w:lang w:eastAsia="zh-CN"/>
        </w:rPr>
        <w:t>非中高风险地区</w:t>
      </w:r>
      <w:r>
        <w:rPr>
          <w:rFonts w:hint="eastAsia" w:ascii="仿宋_GB2312" w:hAnsi="仿宋_GB2312" w:eastAsia="仿宋_GB2312" w:cs="仿宋_GB2312"/>
          <w:b w:val="0"/>
          <w:bCs w:val="0"/>
          <w:i w:val="0"/>
          <w:caps w:val="0"/>
          <w:color w:val="auto"/>
          <w:spacing w:val="0"/>
          <w:sz w:val="24"/>
          <w:szCs w:val="24"/>
          <w:highlight w:val="none"/>
        </w:rPr>
        <w:t>旅居史的考生，须在</w:t>
      </w:r>
      <w:r>
        <w:rPr>
          <w:rFonts w:hint="eastAsia" w:ascii="仿宋_GB2312" w:hAnsi="仿宋_GB2312" w:eastAsia="仿宋_GB2312" w:cs="仿宋_GB2312"/>
          <w:b w:val="0"/>
          <w:bCs w:val="0"/>
          <w:i w:val="0"/>
          <w:caps w:val="0"/>
          <w:color w:val="auto"/>
          <w:spacing w:val="0"/>
          <w:sz w:val="24"/>
          <w:szCs w:val="24"/>
          <w:highlight w:val="none"/>
          <w:lang w:val="en-US" w:eastAsia="zh-CN"/>
        </w:rPr>
        <w:t>笔试</w:t>
      </w:r>
      <w:r>
        <w:rPr>
          <w:rFonts w:hint="eastAsia" w:ascii="仿宋_GB2312" w:hAnsi="仿宋_GB2312" w:eastAsia="仿宋_GB2312" w:cs="仿宋_GB2312"/>
          <w:b w:val="0"/>
          <w:bCs w:val="0"/>
          <w:i w:val="0"/>
          <w:caps w:val="0"/>
          <w:color w:val="auto"/>
          <w:spacing w:val="0"/>
          <w:sz w:val="24"/>
          <w:szCs w:val="24"/>
          <w:highlight w:val="none"/>
        </w:rPr>
        <w:t>入场时提供</w:t>
      </w:r>
      <w:r>
        <w:rPr>
          <w:rFonts w:hint="eastAsia" w:ascii="仿宋_GB2312" w:hAnsi="仿宋_GB2312" w:eastAsia="仿宋_GB2312" w:cs="仿宋_GB2312"/>
          <w:b w:val="0"/>
          <w:bCs w:val="0"/>
          <w:i w:val="0"/>
          <w:caps w:val="0"/>
          <w:color w:val="auto"/>
          <w:spacing w:val="0"/>
          <w:sz w:val="24"/>
          <w:szCs w:val="24"/>
          <w:highlight w:val="none"/>
          <w:lang w:val="en-US" w:eastAsia="zh-CN"/>
        </w:rPr>
        <w:t>笔试</w:t>
      </w:r>
      <w:r>
        <w:rPr>
          <w:rFonts w:hint="eastAsia" w:ascii="仿宋_GB2312" w:hAnsi="仿宋_GB2312" w:eastAsia="仿宋_GB2312" w:cs="仿宋_GB2312"/>
          <w:b w:val="0"/>
          <w:bCs w:val="0"/>
          <w:i w:val="0"/>
          <w:caps w:val="0"/>
          <w:color w:val="auto"/>
          <w:spacing w:val="0"/>
          <w:sz w:val="24"/>
          <w:szCs w:val="24"/>
          <w:highlight w:val="none"/>
        </w:rPr>
        <w:t>前48小时内有资质的检测服务机构出具的核酸</w:t>
      </w:r>
      <w:bookmarkStart w:id="0" w:name="_GoBack"/>
      <w:bookmarkEnd w:id="0"/>
      <w:r>
        <w:rPr>
          <w:rFonts w:hint="eastAsia" w:ascii="仿宋_GB2312" w:hAnsi="仿宋_GB2312" w:eastAsia="仿宋_GB2312" w:cs="仿宋_GB2312"/>
          <w:b w:val="0"/>
          <w:bCs w:val="0"/>
          <w:i w:val="0"/>
          <w:caps w:val="0"/>
          <w:color w:val="auto"/>
          <w:spacing w:val="0"/>
          <w:sz w:val="24"/>
          <w:szCs w:val="24"/>
          <w:highlight w:val="none"/>
        </w:rPr>
        <w:t>检测阴性报告(纸质报告原件或浙江“健康码”-健康应用-个人防疫-报告查询显示的电子报告)</w:t>
      </w:r>
      <w:r>
        <w:rPr>
          <w:rFonts w:hint="eastAsia" w:ascii="仿宋_GB2312" w:hAnsi="仿宋_GB2312" w:eastAsia="仿宋_GB2312" w:cs="仿宋_GB2312"/>
          <w:b w:val="0"/>
          <w:bCs w:val="0"/>
          <w:i w:val="0"/>
          <w:caps w:val="0"/>
          <w:color w:val="auto"/>
          <w:spacing w:val="0"/>
          <w:sz w:val="24"/>
          <w:szCs w:val="24"/>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firstLine="480" w:firstLineChars="200"/>
        <w:textAlignment w:val="auto"/>
        <w:rPr>
          <w:rFonts w:hint="eastAsia" w:ascii="仿宋_GB2312" w:hAnsi="仿宋_GB2312" w:eastAsia="仿宋_GB2312" w:cs="仿宋_GB2312"/>
          <w:b w:val="0"/>
          <w:bCs w:val="0"/>
          <w:i w:val="0"/>
          <w:caps w:val="0"/>
          <w:color w:val="auto"/>
          <w:spacing w:val="0"/>
          <w:sz w:val="24"/>
          <w:szCs w:val="24"/>
          <w:highlight w:val="none"/>
        </w:rPr>
      </w:pPr>
      <w:r>
        <w:rPr>
          <w:rFonts w:hint="default" w:ascii="仿宋_GB2312" w:hAnsi="仿宋_GB2312" w:eastAsia="仿宋_GB2312" w:cs="仿宋_GB2312"/>
          <w:b w:val="0"/>
          <w:bCs w:val="0"/>
          <w:i w:val="0"/>
          <w:caps w:val="0"/>
          <w:color w:val="auto"/>
          <w:spacing w:val="0"/>
          <w:sz w:val="24"/>
          <w:szCs w:val="24"/>
          <w:highlight w:val="none"/>
          <w:lang w:eastAsia="zh-CN"/>
        </w:rPr>
        <w:t>2.</w:t>
      </w:r>
      <w:r>
        <w:rPr>
          <w:rFonts w:hint="eastAsia" w:ascii="仿宋_GB2312" w:hAnsi="仿宋_GB2312" w:eastAsia="仿宋_GB2312" w:cs="仿宋_GB2312"/>
          <w:b w:val="0"/>
          <w:bCs w:val="0"/>
          <w:i w:val="0"/>
          <w:caps w:val="0"/>
          <w:color w:val="auto"/>
          <w:spacing w:val="0"/>
          <w:sz w:val="24"/>
          <w:szCs w:val="24"/>
          <w:highlight w:val="none"/>
          <w:lang w:val="en-US" w:eastAsia="zh-CN"/>
        </w:rPr>
        <w:t>笔</w:t>
      </w:r>
      <w:r>
        <w:rPr>
          <w:rFonts w:hint="eastAsia" w:ascii="仿宋_GB2312" w:hAnsi="仿宋_GB2312" w:eastAsia="仿宋_GB2312" w:cs="仿宋_GB2312"/>
          <w:b w:val="0"/>
          <w:bCs w:val="0"/>
          <w:i w:val="0"/>
          <w:caps w:val="0"/>
          <w:color w:val="auto"/>
          <w:spacing w:val="0"/>
          <w:sz w:val="24"/>
          <w:szCs w:val="24"/>
          <w:highlight w:val="none"/>
        </w:rPr>
        <w:t>试当天，考生凭本人有效身份证原件、纸质准考证</w:t>
      </w:r>
      <w:r>
        <w:rPr>
          <w:rFonts w:hint="eastAsia" w:ascii="仿宋_GB2312" w:hAnsi="仿宋_GB2312" w:eastAsia="仿宋_GB2312" w:cs="仿宋_GB2312"/>
          <w:b w:val="0"/>
          <w:bCs w:val="0"/>
          <w:i w:val="0"/>
          <w:caps w:val="0"/>
          <w:color w:val="auto"/>
          <w:spacing w:val="0"/>
          <w:sz w:val="24"/>
          <w:szCs w:val="24"/>
          <w:highlight w:val="none"/>
          <w:lang w:eastAsia="zh-CN"/>
        </w:rPr>
        <w:t>、</w:t>
      </w:r>
      <w:r>
        <w:rPr>
          <w:rFonts w:hint="eastAsia" w:ascii="仿宋_GB2312" w:hAnsi="仿宋_GB2312" w:eastAsia="仿宋_GB2312" w:cs="仿宋_GB2312"/>
          <w:b w:val="0"/>
          <w:bCs w:val="0"/>
          <w:i w:val="0"/>
          <w:caps w:val="0"/>
          <w:color w:val="auto"/>
          <w:spacing w:val="0"/>
          <w:sz w:val="24"/>
          <w:szCs w:val="24"/>
        </w:rPr>
        <w:t>浙江“健康码”绿码</w:t>
      </w:r>
      <w:r>
        <w:rPr>
          <w:rFonts w:hint="eastAsia" w:ascii="仿宋_GB2312" w:hAnsi="仿宋_GB2312" w:eastAsia="仿宋_GB2312" w:cs="仿宋_GB2312"/>
          <w:b w:val="0"/>
          <w:bCs w:val="0"/>
          <w:i w:val="0"/>
          <w:caps w:val="0"/>
          <w:color w:val="auto"/>
          <w:spacing w:val="0"/>
          <w:sz w:val="24"/>
          <w:szCs w:val="24"/>
          <w:lang w:eastAsia="zh-CN"/>
        </w:rPr>
        <w:t>、</w:t>
      </w:r>
      <w:r>
        <w:rPr>
          <w:rFonts w:hint="eastAsia" w:ascii="仿宋_GB2312" w:hAnsi="仿宋_GB2312" w:eastAsia="仿宋_GB2312" w:cs="仿宋_GB2312"/>
          <w:b w:val="0"/>
          <w:bCs w:val="0"/>
          <w:i w:val="0"/>
          <w:caps w:val="0"/>
          <w:color w:val="auto"/>
          <w:spacing w:val="0"/>
          <w:sz w:val="24"/>
          <w:szCs w:val="24"/>
          <w:highlight w:val="none"/>
        </w:rPr>
        <w:t>“通信大数据绿色行程卡”等，</w:t>
      </w:r>
      <w:r>
        <w:rPr>
          <w:rFonts w:hint="default" w:ascii="仿宋_GB2312" w:hAnsi="仿宋_GB2312" w:eastAsia="仿宋_GB2312" w:cs="仿宋_GB2312"/>
          <w:b w:val="0"/>
          <w:bCs w:val="0"/>
          <w:i w:val="0"/>
          <w:caps w:val="0"/>
          <w:color w:val="auto"/>
          <w:spacing w:val="0"/>
          <w:sz w:val="24"/>
          <w:szCs w:val="24"/>
          <w:highlight w:val="none"/>
        </w:rPr>
        <w:t>且经</w:t>
      </w:r>
      <w:r>
        <w:rPr>
          <w:rFonts w:hint="eastAsia" w:ascii="仿宋_GB2312" w:hAnsi="仿宋_GB2312" w:eastAsia="仿宋_GB2312" w:cs="仿宋_GB2312"/>
          <w:b w:val="0"/>
          <w:bCs w:val="0"/>
          <w:i w:val="0"/>
          <w:caps w:val="0"/>
          <w:color w:val="auto"/>
          <w:spacing w:val="0"/>
          <w:sz w:val="24"/>
          <w:szCs w:val="24"/>
          <w:highlight w:val="none"/>
        </w:rPr>
        <w:t>测量体温正常</w:t>
      </w:r>
      <w:r>
        <w:rPr>
          <w:rFonts w:hint="default" w:ascii="仿宋_GB2312" w:hAnsi="仿宋_GB2312" w:eastAsia="仿宋_GB2312" w:cs="仿宋_GB2312"/>
          <w:b w:val="0"/>
          <w:bCs w:val="0"/>
          <w:i w:val="0"/>
          <w:caps w:val="0"/>
          <w:color w:val="auto"/>
          <w:spacing w:val="0"/>
          <w:sz w:val="24"/>
          <w:szCs w:val="24"/>
          <w:highlight w:val="none"/>
        </w:rPr>
        <w:t>、规范佩戴口罩</w:t>
      </w:r>
      <w:r>
        <w:rPr>
          <w:rFonts w:hint="eastAsia" w:ascii="仿宋_GB2312" w:hAnsi="仿宋_GB2312" w:eastAsia="仿宋_GB2312" w:cs="仿宋_GB2312"/>
          <w:b w:val="0"/>
          <w:bCs w:val="0"/>
          <w:i w:val="0"/>
          <w:caps w:val="0"/>
          <w:color w:val="auto"/>
          <w:spacing w:val="0"/>
          <w:sz w:val="24"/>
          <w:szCs w:val="24"/>
          <w:highlight w:val="none"/>
        </w:rPr>
        <w:t>后</w:t>
      </w:r>
      <w:r>
        <w:rPr>
          <w:rFonts w:hint="default" w:ascii="仿宋_GB2312" w:hAnsi="仿宋_GB2312" w:eastAsia="仿宋_GB2312" w:cs="仿宋_GB2312"/>
          <w:b w:val="0"/>
          <w:bCs w:val="0"/>
          <w:i w:val="0"/>
          <w:caps w:val="0"/>
          <w:color w:val="auto"/>
          <w:spacing w:val="0"/>
          <w:sz w:val="24"/>
          <w:szCs w:val="24"/>
          <w:highlight w:val="none"/>
        </w:rPr>
        <w:t>方可</w:t>
      </w:r>
      <w:r>
        <w:rPr>
          <w:rFonts w:hint="eastAsia" w:ascii="仿宋_GB2312" w:hAnsi="仿宋_GB2312" w:eastAsia="仿宋_GB2312" w:cs="仿宋_GB2312"/>
          <w:b w:val="0"/>
          <w:bCs w:val="0"/>
          <w:i w:val="0"/>
          <w:caps w:val="0"/>
          <w:color w:val="auto"/>
          <w:spacing w:val="0"/>
          <w:sz w:val="24"/>
          <w:szCs w:val="24"/>
          <w:highlight w:val="none"/>
        </w:rPr>
        <w:t>入场参加考试。</w:t>
      </w:r>
      <w:r>
        <w:rPr>
          <w:rFonts w:hint="default" w:ascii="仿宋_GB2312" w:hAnsi="仿宋_GB2312" w:eastAsia="仿宋_GB2312" w:cs="仿宋_GB2312"/>
          <w:b w:val="0"/>
          <w:bCs w:val="0"/>
          <w:i w:val="0"/>
          <w:caps w:val="0"/>
          <w:color w:val="auto"/>
          <w:spacing w:val="0"/>
          <w:sz w:val="24"/>
          <w:szCs w:val="24"/>
          <w:highlight w:val="none"/>
        </w:rPr>
        <w:t>对宁波大市外考生和行程卡带“*”考生，需要提前14天做好自我健康监测，并在笔试当天（2</w:t>
      </w:r>
      <w:r>
        <w:rPr>
          <w:rFonts w:hint="eastAsia" w:ascii="仿宋_GB2312" w:hAnsi="仿宋_GB2312" w:eastAsia="仿宋_GB2312" w:cs="仿宋_GB2312"/>
          <w:b w:val="0"/>
          <w:bCs w:val="0"/>
          <w:i w:val="0"/>
          <w:caps w:val="0"/>
          <w:color w:val="auto"/>
          <w:spacing w:val="0"/>
          <w:sz w:val="24"/>
          <w:szCs w:val="24"/>
          <w:highlight w:val="none"/>
          <w:lang w:val="en-US" w:eastAsia="zh-CN"/>
        </w:rPr>
        <w:t>022年3月27日）</w:t>
      </w:r>
      <w:r>
        <w:rPr>
          <w:rFonts w:hint="default" w:ascii="仿宋_GB2312" w:hAnsi="仿宋_GB2312" w:eastAsia="仿宋_GB2312" w:cs="仿宋_GB2312"/>
          <w:b w:val="0"/>
          <w:bCs w:val="0"/>
          <w:i w:val="0"/>
          <w:caps w:val="0"/>
          <w:color w:val="auto"/>
          <w:spacing w:val="0"/>
          <w:sz w:val="24"/>
          <w:szCs w:val="24"/>
          <w:highlight w:val="none"/>
        </w:rPr>
        <w:t>提交《</w:t>
      </w:r>
      <w:r>
        <w:rPr>
          <w:rFonts w:hint="eastAsia" w:ascii="仿宋_GB2312" w:hAnsi="仿宋_GB2312" w:eastAsia="仿宋_GB2312" w:cs="仿宋_GB2312"/>
          <w:b w:val="0"/>
          <w:bCs w:val="0"/>
          <w:i w:val="0"/>
          <w:caps w:val="0"/>
          <w:color w:val="auto"/>
          <w:spacing w:val="0"/>
          <w:sz w:val="24"/>
          <w:szCs w:val="24"/>
          <w:highlight w:val="none"/>
          <w:lang w:eastAsia="zh-CN"/>
        </w:rPr>
        <w:t>考生</w:t>
      </w:r>
      <w:r>
        <w:rPr>
          <w:rFonts w:hint="eastAsia" w:ascii="仿宋_GB2312" w:hAnsi="仿宋_GB2312" w:eastAsia="仿宋_GB2312" w:cs="仿宋_GB2312"/>
          <w:b w:val="0"/>
          <w:bCs w:val="0"/>
          <w:i w:val="0"/>
          <w:caps w:val="0"/>
          <w:color w:val="auto"/>
          <w:spacing w:val="0"/>
          <w:sz w:val="24"/>
          <w:szCs w:val="24"/>
          <w:highlight w:val="none"/>
          <w:lang w:val="en-US" w:eastAsia="zh-CN"/>
        </w:rPr>
        <w:t>健康申报表</w:t>
      </w:r>
      <w:r>
        <w:rPr>
          <w:rFonts w:hint="default" w:ascii="仿宋_GB2312" w:hAnsi="仿宋_GB2312" w:eastAsia="仿宋_GB2312" w:cs="仿宋_GB2312"/>
          <w:b w:val="0"/>
          <w:bCs w:val="0"/>
          <w:i w:val="0"/>
          <w:caps w:val="0"/>
          <w:color w:val="auto"/>
          <w:spacing w:val="0"/>
          <w:sz w:val="24"/>
          <w:szCs w:val="24"/>
          <w:highlight w:val="none"/>
          <w:lang w:eastAsia="zh-CN"/>
        </w:rPr>
        <w:t>》、</w:t>
      </w:r>
      <w:r>
        <w:rPr>
          <w:rFonts w:hint="eastAsia" w:ascii="仿宋_GB2312" w:hAnsi="仿宋_GB2312" w:eastAsia="仿宋_GB2312" w:cs="仿宋_GB2312"/>
          <w:b w:val="0"/>
          <w:bCs w:val="0"/>
          <w:i w:val="0"/>
          <w:caps w:val="0"/>
          <w:color w:val="auto"/>
          <w:spacing w:val="0"/>
          <w:sz w:val="24"/>
          <w:szCs w:val="24"/>
          <w:highlight w:val="none"/>
        </w:rPr>
        <w:t>48小时内有资质的检测服务机构出具的</w:t>
      </w:r>
      <w:r>
        <w:rPr>
          <w:rFonts w:hint="default" w:ascii="仿宋_GB2312" w:hAnsi="仿宋_GB2312" w:eastAsia="仿宋_GB2312" w:cs="仿宋_GB2312"/>
          <w:b w:val="0"/>
          <w:bCs w:val="0"/>
          <w:i w:val="0"/>
          <w:caps w:val="0"/>
          <w:color w:val="auto"/>
          <w:spacing w:val="0"/>
          <w:sz w:val="24"/>
          <w:szCs w:val="24"/>
          <w:highlight w:val="none"/>
          <w:lang w:eastAsia="zh-CN"/>
        </w:rPr>
        <w:t>核酸检测阴性报告。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firstLine="480" w:firstLineChars="200"/>
        <w:textAlignment w:val="auto"/>
        <w:rPr>
          <w:rFonts w:hint="eastAsia" w:ascii="仿宋_GB2312" w:hAnsi="仿宋_GB2312" w:eastAsia="仿宋_GB2312" w:cs="仿宋_GB2312"/>
          <w:b w:val="0"/>
          <w:bCs w:val="0"/>
          <w:color w:val="auto"/>
          <w:spacing w:val="0"/>
          <w:sz w:val="24"/>
          <w:szCs w:val="24"/>
        </w:rPr>
      </w:pPr>
      <w:r>
        <w:rPr>
          <w:rFonts w:hint="eastAsia" w:ascii="仿宋_GB2312" w:hAnsi="仿宋_GB2312" w:eastAsia="仿宋_GB2312" w:cs="仿宋_GB2312"/>
          <w:b w:val="0"/>
          <w:bCs w:val="0"/>
          <w:i w:val="0"/>
          <w:caps w:val="0"/>
          <w:color w:val="auto"/>
          <w:spacing w:val="0"/>
          <w:sz w:val="24"/>
          <w:szCs w:val="24"/>
        </w:rPr>
        <w:t>3.参加</w:t>
      </w:r>
      <w:r>
        <w:rPr>
          <w:rFonts w:hint="eastAsia" w:ascii="仿宋_GB2312" w:hAnsi="仿宋_GB2312" w:eastAsia="仿宋_GB2312" w:cs="仿宋_GB2312"/>
          <w:b w:val="0"/>
          <w:bCs w:val="0"/>
          <w:i w:val="0"/>
          <w:caps w:val="0"/>
          <w:color w:val="auto"/>
          <w:spacing w:val="0"/>
          <w:sz w:val="24"/>
          <w:szCs w:val="24"/>
          <w:lang w:val="en-US" w:eastAsia="zh-CN"/>
        </w:rPr>
        <w:t>考试</w:t>
      </w:r>
      <w:r>
        <w:rPr>
          <w:rFonts w:hint="eastAsia" w:ascii="仿宋_GB2312" w:hAnsi="仿宋_GB2312" w:eastAsia="仿宋_GB2312" w:cs="仿宋_GB2312"/>
          <w:b w:val="0"/>
          <w:bCs w:val="0"/>
          <w:i w:val="0"/>
          <w:caps w:val="0"/>
          <w:color w:val="auto"/>
          <w:spacing w:val="0"/>
          <w:sz w:val="24"/>
          <w:szCs w:val="24"/>
        </w:rPr>
        <w:t>的考生应自备一次性医用外科口罩，除身份核验环节外，在考点期间全程佩戴口罩。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firstLine="480" w:firstLineChars="200"/>
        <w:textAlignment w:val="auto"/>
        <w:rPr>
          <w:rFonts w:hint="eastAsia" w:ascii="仿宋_GB2312" w:hAnsi="仿宋_GB2312" w:eastAsia="仿宋_GB2312" w:cs="仿宋_GB2312"/>
          <w:b w:val="0"/>
          <w:bCs w:val="0"/>
          <w:color w:val="auto"/>
          <w:spacing w:val="0"/>
          <w:sz w:val="24"/>
          <w:szCs w:val="24"/>
        </w:rPr>
      </w:pPr>
      <w:r>
        <w:rPr>
          <w:rFonts w:hint="eastAsia" w:ascii="仿宋_GB2312" w:hAnsi="仿宋_GB2312" w:eastAsia="仿宋_GB2312" w:cs="仿宋_GB2312"/>
          <w:b w:val="0"/>
          <w:bCs w:val="0"/>
          <w:i w:val="0"/>
          <w:caps w:val="0"/>
          <w:color w:val="auto"/>
          <w:spacing w:val="0"/>
          <w:sz w:val="24"/>
          <w:szCs w:val="24"/>
        </w:rPr>
        <w:t>4.有以下特殊情形之一的考生，必须主动报告相关情况，提前准备相关证明，服从相关安排，否则不能入场参加考试: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firstLine="480" w:firstLineChars="200"/>
        <w:textAlignment w:val="auto"/>
        <w:rPr>
          <w:rFonts w:hint="eastAsia" w:ascii="仿宋_GB2312" w:hAnsi="仿宋_GB2312" w:eastAsia="仿宋_GB2312" w:cs="仿宋_GB2312"/>
          <w:b w:val="0"/>
          <w:bCs w:val="0"/>
          <w:i w:val="0"/>
          <w:caps w:val="0"/>
          <w:color w:val="auto"/>
          <w:spacing w:val="0"/>
          <w:sz w:val="24"/>
          <w:szCs w:val="24"/>
        </w:rPr>
      </w:pPr>
      <w:r>
        <w:rPr>
          <w:rFonts w:hint="eastAsia" w:ascii="仿宋_GB2312" w:hAnsi="仿宋_GB2312" w:eastAsia="仿宋_GB2312" w:cs="仿宋_GB2312"/>
          <w:b w:val="0"/>
          <w:bCs w:val="0"/>
          <w:i w:val="0"/>
          <w:caps w:val="0"/>
          <w:color w:val="auto"/>
          <w:spacing w:val="0"/>
          <w:sz w:val="24"/>
          <w:szCs w:val="24"/>
        </w:rPr>
        <w:t>（1）浙江“健康码”非绿码的考生，应于考试前一天完成浙江“健康码”绿码转码工作后方可参加考试，逾期未转为绿码的不得参加考试。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firstLine="480" w:firstLineChars="200"/>
        <w:textAlignment w:val="auto"/>
        <w:rPr>
          <w:rFonts w:hint="eastAsia" w:ascii="仿宋_GB2312" w:hAnsi="仿宋_GB2312" w:eastAsia="仿宋_GB2312" w:cs="仿宋_GB2312"/>
          <w:b w:val="0"/>
          <w:bCs w:val="0"/>
          <w:i w:val="0"/>
          <w:caps w:val="0"/>
          <w:color w:val="000000"/>
          <w:spacing w:val="0"/>
          <w:sz w:val="24"/>
          <w:szCs w:val="24"/>
        </w:rPr>
      </w:pPr>
      <w:r>
        <w:rPr>
          <w:rFonts w:hint="eastAsia" w:ascii="仿宋_GB2312" w:hAnsi="仿宋_GB2312" w:eastAsia="仿宋_GB2312" w:cs="仿宋_GB2312"/>
          <w:b w:val="0"/>
          <w:bCs w:val="0"/>
          <w:i w:val="0"/>
          <w:caps w:val="0"/>
          <w:color w:val="auto"/>
          <w:spacing w:val="0"/>
          <w:sz w:val="24"/>
          <w:szCs w:val="24"/>
        </w:rPr>
        <w:t>（2）“通信大数据绿色行程卡”带*号的</w:t>
      </w:r>
      <w:r>
        <w:rPr>
          <w:rFonts w:hint="eastAsia" w:ascii="仿宋_GB2312" w:hAnsi="仿宋_GB2312" w:eastAsia="仿宋_GB2312" w:cs="仿宋_GB2312"/>
          <w:b w:val="0"/>
          <w:bCs w:val="0"/>
          <w:i w:val="0"/>
          <w:caps w:val="0"/>
          <w:color w:val="000000"/>
          <w:spacing w:val="0"/>
          <w:sz w:val="24"/>
          <w:szCs w:val="24"/>
        </w:rPr>
        <w:t>考生，</w:t>
      </w:r>
      <w:r>
        <w:rPr>
          <w:rFonts w:hint="default" w:ascii="仿宋_GB2312" w:hAnsi="仿宋_GB2312" w:eastAsia="仿宋_GB2312" w:cs="仿宋_GB2312"/>
          <w:b w:val="0"/>
          <w:bCs w:val="0"/>
          <w:i w:val="0"/>
          <w:caps w:val="0"/>
          <w:color w:val="000000"/>
          <w:spacing w:val="0"/>
          <w:sz w:val="24"/>
          <w:szCs w:val="24"/>
          <w:highlight w:val="none"/>
        </w:rPr>
        <w:t>须经公安、卫生、大数据等部门共同研判，排除异常后，</w:t>
      </w:r>
      <w:r>
        <w:rPr>
          <w:rFonts w:hint="default" w:ascii="仿宋_GB2312" w:hAnsi="仿宋_GB2312" w:eastAsia="仿宋_GB2312" w:cs="仿宋_GB2312"/>
          <w:b w:val="0"/>
          <w:bCs w:val="0"/>
          <w:i w:val="0"/>
          <w:caps w:val="0"/>
          <w:color w:val="000000"/>
          <w:spacing w:val="0"/>
          <w:sz w:val="24"/>
          <w:szCs w:val="24"/>
        </w:rPr>
        <w:t>且</w:t>
      </w:r>
      <w:r>
        <w:rPr>
          <w:rFonts w:hint="eastAsia" w:ascii="仿宋_GB2312" w:hAnsi="仿宋_GB2312" w:eastAsia="仿宋_GB2312" w:cs="仿宋_GB2312"/>
          <w:b w:val="0"/>
          <w:bCs w:val="0"/>
          <w:i w:val="0"/>
          <w:caps w:val="0"/>
          <w:color w:val="000000"/>
          <w:spacing w:val="0"/>
          <w:sz w:val="24"/>
          <w:szCs w:val="24"/>
        </w:rPr>
        <w:t>须提供</w:t>
      </w:r>
      <w:r>
        <w:rPr>
          <w:rFonts w:hint="eastAsia" w:ascii="仿宋_GB2312" w:hAnsi="仿宋_GB2312" w:eastAsia="仿宋_GB2312" w:cs="仿宋_GB2312"/>
          <w:b w:val="0"/>
          <w:bCs w:val="0"/>
          <w:i w:val="0"/>
          <w:caps w:val="0"/>
          <w:color w:val="000000"/>
          <w:spacing w:val="0"/>
          <w:sz w:val="24"/>
          <w:szCs w:val="24"/>
          <w:lang w:val="en-US" w:eastAsia="zh-CN"/>
        </w:rPr>
        <w:t>笔试</w:t>
      </w:r>
      <w:r>
        <w:rPr>
          <w:rFonts w:hint="eastAsia" w:ascii="仿宋_GB2312" w:hAnsi="仿宋_GB2312" w:eastAsia="仿宋_GB2312" w:cs="仿宋_GB2312"/>
          <w:b w:val="0"/>
          <w:bCs w:val="0"/>
          <w:i w:val="0"/>
          <w:caps w:val="0"/>
          <w:color w:val="000000"/>
          <w:spacing w:val="0"/>
          <w:sz w:val="24"/>
          <w:szCs w:val="24"/>
        </w:rPr>
        <w:t>前48小时内有资质的检测服务机构提供的</w:t>
      </w:r>
      <w:r>
        <w:rPr>
          <w:rFonts w:hint="default" w:ascii="仿宋_GB2312" w:hAnsi="仿宋_GB2312" w:eastAsia="仿宋_GB2312" w:cs="仿宋_GB2312"/>
          <w:b w:val="0"/>
          <w:bCs w:val="0"/>
          <w:i w:val="0"/>
          <w:caps w:val="0"/>
          <w:color w:val="auto"/>
          <w:spacing w:val="0"/>
          <w:sz w:val="24"/>
          <w:szCs w:val="24"/>
          <w:highlight w:val="none"/>
          <w:lang w:eastAsia="zh-CN"/>
        </w:rPr>
        <w:t>核酸检测阴性报告</w:t>
      </w:r>
      <w:r>
        <w:rPr>
          <w:rFonts w:hint="eastAsia" w:ascii="仿宋_GB2312" w:hAnsi="仿宋_GB2312" w:eastAsia="仿宋_GB2312" w:cs="仿宋_GB2312"/>
          <w:b w:val="0"/>
          <w:bCs w:val="0"/>
          <w:i w:val="0"/>
          <w:caps w:val="0"/>
          <w:color w:val="000000"/>
          <w:spacing w:val="0"/>
          <w:sz w:val="24"/>
          <w:szCs w:val="24"/>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firstLine="480" w:firstLineChars="200"/>
        <w:textAlignment w:val="auto"/>
        <w:rPr>
          <w:rFonts w:hint="eastAsia" w:ascii="仿宋_GB2312" w:hAnsi="仿宋_GB2312" w:eastAsia="仿宋_GB2312" w:cs="仿宋_GB2312"/>
          <w:b w:val="0"/>
          <w:bCs w:val="0"/>
          <w:i w:val="0"/>
          <w:caps w:val="0"/>
          <w:color w:val="000000"/>
          <w:spacing w:val="0"/>
          <w:sz w:val="24"/>
          <w:szCs w:val="24"/>
        </w:rPr>
      </w:pPr>
      <w:r>
        <w:rPr>
          <w:rFonts w:hint="eastAsia" w:ascii="仿宋_GB2312" w:hAnsi="仿宋_GB2312" w:eastAsia="仿宋_GB2312" w:cs="仿宋_GB2312"/>
          <w:b w:val="0"/>
          <w:bCs w:val="0"/>
          <w:i w:val="0"/>
          <w:caps w:val="0"/>
          <w:color w:val="000000"/>
          <w:spacing w:val="0"/>
          <w:sz w:val="24"/>
          <w:szCs w:val="24"/>
        </w:rPr>
        <w:t>（3）截至</w:t>
      </w:r>
      <w:r>
        <w:rPr>
          <w:rFonts w:hint="eastAsia" w:ascii="仿宋_GB2312" w:hAnsi="仿宋_GB2312" w:eastAsia="仿宋_GB2312" w:cs="仿宋_GB2312"/>
          <w:b w:val="0"/>
          <w:bCs w:val="0"/>
          <w:i w:val="0"/>
          <w:caps w:val="0"/>
          <w:color w:val="000000"/>
          <w:spacing w:val="0"/>
          <w:sz w:val="24"/>
          <w:szCs w:val="24"/>
          <w:lang w:val="en-US" w:eastAsia="zh-CN"/>
        </w:rPr>
        <w:t>笔试</w:t>
      </w:r>
      <w:r>
        <w:rPr>
          <w:rFonts w:hint="eastAsia" w:ascii="仿宋_GB2312" w:hAnsi="仿宋_GB2312" w:eastAsia="仿宋_GB2312" w:cs="仿宋_GB2312"/>
          <w:b w:val="0"/>
          <w:bCs w:val="0"/>
          <w:i w:val="0"/>
          <w:caps w:val="0"/>
          <w:color w:val="000000"/>
          <w:spacing w:val="0"/>
          <w:sz w:val="24"/>
          <w:szCs w:val="24"/>
        </w:rPr>
        <w:t>当天，考生一个月以前被认定为既往新冠肺炎确诊病例、无症状感染者及密切接触者的，应主动向</w:t>
      </w:r>
      <w:r>
        <w:rPr>
          <w:rFonts w:hint="default" w:ascii="仿宋_GB2312" w:hAnsi="仿宋_GB2312" w:eastAsia="仿宋_GB2312" w:cs="仿宋_GB2312"/>
          <w:b w:val="0"/>
          <w:bCs w:val="0"/>
          <w:i w:val="0"/>
          <w:caps w:val="0"/>
          <w:strike w:val="0"/>
          <w:dstrike w:val="0"/>
          <w:color w:val="000000"/>
          <w:spacing w:val="0"/>
          <w:sz w:val="24"/>
          <w:szCs w:val="24"/>
          <w:highlight w:val="none"/>
          <w:lang w:eastAsia="zh-CN"/>
        </w:rPr>
        <w:t>宁海县</w:t>
      </w:r>
      <w:r>
        <w:rPr>
          <w:rFonts w:hint="eastAsia" w:ascii="仿宋_GB2312" w:hAnsi="仿宋_GB2312" w:eastAsia="仿宋_GB2312" w:cs="仿宋_GB2312"/>
          <w:b w:val="0"/>
          <w:bCs w:val="0"/>
          <w:i w:val="0"/>
          <w:caps w:val="0"/>
          <w:color w:val="000000"/>
          <w:spacing w:val="0"/>
          <w:sz w:val="24"/>
          <w:szCs w:val="24"/>
          <w:lang w:val="en-US" w:eastAsia="zh-CN"/>
        </w:rPr>
        <w:t>卫生健康局</w:t>
      </w:r>
      <w:r>
        <w:rPr>
          <w:rFonts w:hint="eastAsia" w:ascii="仿宋_GB2312" w:hAnsi="仿宋_GB2312" w:eastAsia="仿宋_GB2312" w:cs="仿宋_GB2312"/>
          <w:b w:val="0"/>
          <w:bCs w:val="0"/>
          <w:i w:val="0"/>
          <w:caps w:val="0"/>
          <w:color w:val="000000"/>
          <w:spacing w:val="0"/>
          <w:sz w:val="24"/>
          <w:szCs w:val="24"/>
        </w:rPr>
        <w:t>报告，除提供核酸检测阴性报告外，还须出具肺部影像学检查无异常证明。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firstLine="480" w:firstLineChars="200"/>
        <w:textAlignment w:val="auto"/>
        <w:rPr>
          <w:rFonts w:hint="eastAsia" w:ascii="仿宋_GB2312" w:hAnsi="仿宋_GB2312" w:eastAsia="仿宋_GB2312" w:cs="仿宋_GB2312"/>
          <w:b w:val="0"/>
          <w:bCs w:val="0"/>
          <w:i w:val="0"/>
          <w:caps w:val="0"/>
          <w:color w:val="000000"/>
          <w:spacing w:val="0"/>
          <w:sz w:val="24"/>
          <w:szCs w:val="24"/>
          <w:highlight w:val="none"/>
        </w:rPr>
      </w:pPr>
      <w:r>
        <w:rPr>
          <w:rFonts w:hint="eastAsia" w:ascii="仿宋_GB2312" w:hAnsi="仿宋_GB2312" w:eastAsia="仿宋_GB2312" w:cs="仿宋_GB2312"/>
          <w:b w:val="0"/>
          <w:bCs w:val="0"/>
          <w:i w:val="0"/>
          <w:caps w:val="0"/>
          <w:color w:val="000000"/>
          <w:spacing w:val="0"/>
          <w:sz w:val="24"/>
          <w:szCs w:val="24"/>
          <w:highlight w:val="none"/>
        </w:rPr>
        <w:t>（4）考生在考前有发热(腋下37.3℃以上)等症状的，应及时就医，必要时出示就医凭证，</w:t>
      </w:r>
      <w:r>
        <w:rPr>
          <w:rFonts w:hint="default" w:ascii="仿宋_GB2312" w:hAnsi="仿宋_GB2312" w:eastAsia="仿宋_GB2312" w:cs="仿宋_GB2312"/>
          <w:b w:val="0"/>
          <w:bCs w:val="0"/>
          <w:i w:val="0"/>
          <w:caps w:val="0"/>
          <w:color w:val="000000"/>
          <w:spacing w:val="0"/>
          <w:sz w:val="24"/>
          <w:szCs w:val="24"/>
          <w:highlight w:val="none"/>
        </w:rPr>
        <w:t>且满足热退至少3天或自发病之日起至少7天，并</w:t>
      </w:r>
      <w:r>
        <w:rPr>
          <w:rFonts w:hint="eastAsia" w:ascii="仿宋_GB2312" w:hAnsi="仿宋_GB2312" w:eastAsia="仿宋_GB2312" w:cs="仿宋_GB2312"/>
          <w:b w:val="0"/>
          <w:bCs w:val="0"/>
          <w:i w:val="0"/>
          <w:caps w:val="0"/>
          <w:color w:val="000000"/>
          <w:spacing w:val="0"/>
          <w:sz w:val="24"/>
          <w:szCs w:val="24"/>
          <w:highlight w:val="none"/>
        </w:rPr>
        <w:t>经现场防疫人员评估同意后方可参加考试。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firstLine="480" w:firstLineChars="200"/>
        <w:textAlignment w:val="auto"/>
        <w:rPr>
          <w:rFonts w:hint="eastAsia" w:ascii="仿宋_GB2312" w:hAnsi="仿宋_GB2312" w:eastAsia="仿宋_GB2312" w:cs="仿宋_GB2312"/>
          <w:b w:val="0"/>
          <w:bCs w:val="0"/>
          <w:color w:val="auto"/>
          <w:spacing w:val="0"/>
          <w:sz w:val="24"/>
          <w:szCs w:val="24"/>
        </w:rPr>
      </w:pPr>
      <w:r>
        <w:rPr>
          <w:rFonts w:hint="eastAsia" w:ascii="仿宋_GB2312" w:hAnsi="仿宋_GB2312" w:eastAsia="仿宋_GB2312" w:cs="仿宋_GB2312"/>
          <w:b w:val="0"/>
          <w:bCs w:val="0"/>
          <w:i w:val="0"/>
          <w:caps w:val="0"/>
          <w:color w:val="auto"/>
          <w:spacing w:val="0"/>
          <w:sz w:val="24"/>
          <w:szCs w:val="24"/>
        </w:rPr>
        <w:t>（5）考试当天或考试过程中，考生出现发热(腋下37.3</w:t>
      </w:r>
      <w:r>
        <w:rPr>
          <w:rFonts w:hint="eastAsia" w:ascii="仿宋_GB2312" w:hAnsi="仿宋_GB2312" w:eastAsia="仿宋_GB2312" w:cs="仿宋_GB2312"/>
          <w:b w:val="0"/>
          <w:bCs w:val="0"/>
          <w:i w:val="0"/>
          <w:caps w:val="0"/>
          <w:color w:val="000000"/>
          <w:spacing w:val="0"/>
          <w:sz w:val="24"/>
          <w:szCs w:val="24"/>
          <w:highlight w:val="none"/>
        </w:rPr>
        <w:t>℃</w:t>
      </w:r>
      <w:r>
        <w:rPr>
          <w:rFonts w:hint="eastAsia" w:ascii="仿宋_GB2312" w:hAnsi="仿宋_GB2312" w:eastAsia="仿宋_GB2312" w:cs="仿宋_GB2312"/>
          <w:b w:val="0"/>
          <w:bCs w:val="0"/>
          <w:i w:val="0"/>
          <w:caps w:val="0"/>
          <w:color w:val="auto"/>
          <w:spacing w:val="0"/>
          <w:sz w:val="24"/>
          <w:szCs w:val="24"/>
        </w:rPr>
        <w:t>以上)、干咳、乏力、咽痛、腹泻等症状的，应主动向考点考场考务工作人员报告，经考点防疫人员评估后具备继续完成考试条件的，可转移至隔离考场考试，考试结束后应配合送医就诊;对评估不具备继续完成考试条件的考生应及时送医就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40"/>
        <w:textAlignment w:val="auto"/>
        <w:rPr>
          <w:rFonts w:hint="eastAsia" w:ascii="仿宋_GB2312" w:hAnsi="仿宋_GB2312" w:eastAsia="仿宋_GB2312" w:cs="仿宋_GB2312"/>
          <w:b w:val="0"/>
          <w:bCs w:val="0"/>
          <w:color w:val="auto"/>
          <w:spacing w:val="0"/>
          <w:sz w:val="24"/>
          <w:szCs w:val="24"/>
        </w:rPr>
      </w:pPr>
      <w:r>
        <w:rPr>
          <w:rFonts w:hint="eastAsia" w:ascii="仿宋_GB2312" w:hAnsi="仿宋_GB2312" w:eastAsia="仿宋_GB2312" w:cs="仿宋_GB2312"/>
          <w:b w:val="0"/>
          <w:bCs w:val="0"/>
          <w:i w:val="0"/>
          <w:caps w:val="0"/>
          <w:color w:val="auto"/>
          <w:spacing w:val="0"/>
          <w:sz w:val="24"/>
          <w:szCs w:val="24"/>
          <w:lang w:val="en-US" w:eastAsia="zh-CN"/>
        </w:rPr>
        <w:t>5.</w:t>
      </w:r>
      <w:r>
        <w:rPr>
          <w:rFonts w:hint="eastAsia" w:ascii="仿宋_GB2312" w:hAnsi="仿宋_GB2312" w:eastAsia="仿宋_GB2312" w:cs="仿宋_GB2312"/>
          <w:b w:val="0"/>
          <w:bCs w:val="0"/>
          <w:i w:val="0"/>
          <w:caps w:val="0"/>
          <w:color w:val="auto"/>
          <w:spacing w:val="0"/>
          <w:sz w:val="24"/>
          <w:szCs w:val="24"/>
        </w:rPr>
        <w:t>考生有下列情形之一的，不得参加考试；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40"/>
        <w:textAlignment w:val="auto"/>
        <w:rPr>
          <w:rFonts w:hint="eastAsia" w:ascii="仿宋_GB2312" w:hAnsi="仿宋_GB2312" w:eastAsia="仿宋_GB2312" w:cs="仿宋_GB2312"/>
          <w:b w:val="0"/>
          <w:bCs w:val="0"/>
          <w:color w:val="auto"/>
          <w:spacing w:val="0"/>
          <w:sz w:val="24"/>
          <w:szCs w:val="24"/>
        </w:rPr>
      </w:pPr>
      <w:r>
        <w:rPr>
          <w:rFonts w:hint="eastAsia" w:ascii="仿宋_GB2312" w:hAnsi="仿宋_GB2312" w:eastAsia="仿宋_GB2312" w:cs="仿宋_GB2312"/>
          <w:b w:val="0"/>
          <w:bCs w:val="0"/>
          <w:i w:val="0"/>
          <w:caps w:val="0"/>
          <w:color w:val="auto"/>
          <w:spacing w:val="0"/>
          <w:sz w:val="24"/>
          <w:szCs w:val="24"/>
        </w:rPr>
        <w:t>（1）</w:t>
      </w:r>
      <w:r>
        <w:rPr>
          <w:rFonts w:hint="eastAsia" w:ascii="仿宋_GB2312" w:hAnsi="仿宋_GB2312" w:eastAsia="仿宋_GB2312" w:cs="仿宋_GB2312"/>
          <w:b w:val="0"/>
          <w:bCs w:val="0"/>
          <w:i w:val="0"/>
          <w:caps w:val="0"/>
          <w:color w:val="auto"/>
          <w:spacing w:val="0"/>
          <w:sz w:val="24"/>
          <w:szCs w:val="24"/>
          <w:lang w:val="en-US" w:eastAsia="zh-CN"/>
        </w:rPr>
        <w:t>笔试</w:t>
      </w:r>
      <w:r>
        <w:rPr>
          <w:rFonts w:hint="eastAsia" w:ascii="仿宋_GB2312" w:hAnsi="仿宋_GB2312" w:eastAsia="仿宋_GB2312" w:cs="仿宋_GB2312"/>
          <w:b w:val="0"/>
          <w:bCs w:val="0"/>
          <w:i w:val="0"/>
          <w:caps w:val="0"/>
          <w:color w:val="auto"/>
          <w:spacing w:val="0"/>
          <w:sz w:val="24"/>
          <w:szCs w:val="24"/>
          <w:lang w:eastAsia="zh-CN"/>
        </w:rPr>
        <w:t>前</w:t>
      </w:r>
      <w:r>
        <w:rPr>
          <w:rFonts w:hint="eastAsia" w:ascii="仿宋_GB2312" w:hAnsi="仿宋_GB2312" w:eastAsia="仿宋_GB2312" w:cs="仿宋_GB2312"/>
          <w:b w:val="0"/>
          <w:bCs w:val="0"/>
          <w:i w:val="0"/>
          <w:caps w:val="0"/>
          <w:color w:val="auto"/>
          <w:spacing w:val="0"/>
          <w:sz w:val="24"/>
          <w:szCs w:val="24"/>
        </w:rPr>
        <w:t>28天内有国（境）外旅居史；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40"/>
        <w:textAlignment w:val="auto"/>
        <w:rPr>
          <w:rFonts w:hint="eastAsia" w:ascii="仿宋_GB2312" w:hAnsi="仿宋_GB2312" w:eastAsia="仿宋_GB2312" w:cs="仿宋_GB2312"/>
          <w:b w:val="0"/>
          <w:bCs w:val="0"/>
          <w:color w:val="auto"/>
          <w:spacing w:val="0"/>
          <w:sz w:val="24"/>
          <w:szCs w:val="24"/>
        </w:rPr>
      </w:pPr>
      <w:r>
        <w:rPr>
          <w:rFonts w:hint="eastAsia" w:ascii="仿宋_GB2312" w:hAnsi="仿宋_GB2312" w:eastAsia="仿宋_GB2312" w:cs="仿宋_GB2312"/>
          <w:b w:val="0"/>
          <w:bCs w:val="0"/>
          <w:i w:val="0"/>
          <w:caps w:val="0"/>
          <w:color w:val="auto"/>
          <w:spacing w:val="0"/>
          <w:sz w:val="24"/>
          <w:szCs w:val="24"/>
        </w:rPr>
        <w:t>（2）来自或途</w:t>
      </w:r>
      <w:r>
        <w:rPr>
          <w:rFonts w:hint="eastAsia" w:ascii="仿宋_GB2312" w:hAnsi="仿宋_GB2312" w:eastAsia="仿宋_GB2312" w:cs="仿宋_GB2312"/>
          <w:b w:val="0"/>
          <w:bCs w:val="0"/>
          <w:i w:val="0"/>
          <w:caps w:val="0"/>
          <w:color w:val="auto"/>
          <w:spacing w:val="0"/>
          <w:sz w:val="24"/>
          <w:szCs w:val="24"/>
          <w:lang w:val="en-US" w:eastAsia="zh-CN"/>
        </w:rPr>
        <w:t>经</w:t>
      </w:r>
      <w:r>
        <w:rPr>
          <w:rFonts w:hint="eastAsia" w:ascii="仿宋_GB2312" w:hAnsi="仿宋_GB2312" w:eastAsia="仿宋_GB2312" w:cs="仿宋_GB2312"/>
          <w:b w:val="0"/>
          <w:bCs w:val="0"/>
          <w:i w:val="0"/>
          <w:caps w:val="0"/>
          <w:color w:val="auto"/>
          <w:spacing w:val="0"/>
          <w:sz w:val="24"/>
          <w:szCs w:val="24"/>
        </w:rPr>
        <w:t>国内疫情中高风险地区</w:t>
      </w:r>
      <w:r>
        <w:rPr>
          <w:rFonts w:hint="default" w:ascii="仿宋_GB2312" w:hAnsi="仿宋_GB2312" w:eastAsia="仿宋_GB2312" w:cs="仿宋_GB2312"/>
          <w:b w:val="0"/>
          <w:bCs w:val="0"/>
          <w:i w:val="0"/>
          <w:caps w:val="0"/>
          <w:color w:val="auto"/>
          <w:spacing w:val="0"/>
          <w:sz w:val="24"/>
          <w:szCs w:val="24"/>
        </w:rPr>
        <w:t>或参考中高风险地区管理正处于“14天集中隔离医学观察 + 7天居家健康观察”的，来自中高风险地区所在县（市区）正处于“3天居家健康观察 + 11天日常健康监测”或按“2天（48小时）内核酸检测阴性</w:t>
      </w:r>
      <w:r>
        <w:rPr>
          <w:rFonts w:hint="eastAsia" w:ascii="仿宋_GB2312" w:hAnsi="仿宋_GB2312" w:eastAsia="仿宋_GB2312" w:cs="仿宋_GB2312"/>
          <w:b w:val="0"/>
          <w:bCs w:val="0"/>
          <w:i w:val="0"/>
          <w:caps w:val="0"/>
          <w:color w:val="auto"/>
          <w:spacing w:val="0"/>
          <w:sz w:val="24"/>
          <w:szCs w:val="24"/>
          <w:lang w:val="en-US" w:eastAsia="zh-CN"/>
        </w:rPr>
        <w:t>证明</w:t>
      </w:r>
      <w:r>
        <w:rPr>
          <w:rFonts w:hint="default" w:ascii="仿宋_GB2312" w:hAnsi="仿宋_GB2312" w:eastAsia="仿宋_GB2312" w:cs="仿宋_GB2312"/>
          <w:b w:val="0"/>
          <w:bCs w:val="0"/>
          <w:i w:val="0"/>
          <w:caps w:val="0"/>
          <w:color w:val="auto"/>
          <w:spacing w:val="0"/>
          <w:sz w:val="24"/>
          <w:szCs w:val="24"/>
        </w:rPr>
        <w:t xml:space="preserve"> + 14天日常健康监测”的，以及确诊病例密切接触者、密切接触者的接触者（次密）、</w:t>
      </w:r>
      <w:r>
        <w:rPr>
          <w:rFonts w:hint="eastAsia" w:ascii="仿宋_GB2312" w:hAnsi="仿宋_GB2312" w:eastAsia="仿宋_GB2312" w:cs="仿宋_GB2312"/>
          <w:b w:val="0"/>
          <w:bCs w:val="0"/>
          <w:i w:val="0"/>
          <w:caps w:val="0"/>
          <w:color w:val="auto"/>
          <w:spacing w:val="0"/>
          <w:sz w:val="24"/>
          <w:szCs w:val="24"/>
        </w:rPr>
        <w:t>时空伴随</w:t>
      </w:r>
      <w:r>
        <w:rPr>
          <w:rFonts w:hint="default" w:ascii="仿宋_GB2312" w:hAnsi="仿宋_GB2312" w:eastAsia="仿宋_GB2312" w:cs="仿宋_GB2312"/>
          <w:b w:val="0"/>
          <w:bCs w:val="0"/>
          <w:i w:val="0"/>
          <w:caps w:val="0"/>
          <w:color w:val="auto"/>
          <w:spacing w:val="0"/>
          <w:sz w:val="24"/>
          <w:szCs w:val="24"/>
        </w:rPr>
        <w:t>者未按要求完成相关健康管理措施的</w:t>
      </w:r>
      <w:r>
        <w:rPr>
          <w:rFonts w:hint="eastAsia" w:ascii="仿宋_GB2312" w:hAnsi="仿宋_GB2312" w:eastAsia="仿宋_GB2312" w:cs="仿宋_GB2312"/>
          <w:b w:val="0"/>
          <w:bCs w:val="0"/>
          <w:i w:val="0"/>
          <w:caps w:val="0"/>
          <w:color w:val="auto"/>
          <w:spacing w:val="0"/>
          <w:sz w:val="24"/>
          <w:szCs w:val="24"/>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40"/>
        <w:textAlignment w:val="auto"/>
        <w:rPr>
          <w:rFonts w:hint="eastAsia" w:ascii="仿宋_GB2312" w:hAnsi="仿宋_GB2312" w:eastAsia="仿宋_GB2312" w:cs="仿宋_GB2312"/>
          <w:b w:val="0"/>
          <w:bCs w:val="0"/>
          <w:color w:val="auto"/>
          <w:spacing w:val="0"/>
          <w:sz w:val="24"/>
          <w:szCs w:val="24"/>
        </w:rPr>
      </w:pPr>
      <w:r>
        <w:rPr>
          <w:rFonts w:hint="eastAsia" w:ascii="仿宋_GB2312" w:hAnsi="仿宋_GB2312" w:eastAsia="仿宋_GB2312" w:cs="仿宋_GB2312"/>
          <w:b w:val="0"/>
          <w:bCs w:val="0"/>
          <w:i w:val="0"/>
          <w:caps w:val="0"/>
          <w:color w:val="auto"/>
          <w:spacing w:val="0"/>
          <w:sz w:val="24"/>
          <w:szCs w:val="24"/>
        </w:rPr>
        <w:t>（3）仍在隔离治疗期的新冠肺炎确诊病例、疑似病例或无症状感染者，集中隔离期未满的密切接触者和次密切接触者。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40"/>
        <w:textAlignment w:val="auto"/>
        <w:rPr>
          <w:rFonts w:hint="eastAsia" w:ascii="仿宋_GB2312" w:hAnsi="仿宋_GB2312" w:eastAsia="仿宋_GB2312" w:cs="仿宋_GB2312"/>
          <w:b w:val="0"/>
          <w:bCs w:val="0"/>
          <w:color w:val="000000"/>
          <w:spacing w:val="0"/>
          <w:sz w:val="24"/>
          <w:szCs w:val="24"/>
        </w:rPr>
      </w:pPr>
      <w:r>
        <w:rPr>
          <w:rFonts w:hint="eastAsia" w:ascii="仿宋_GB2312" w:hAnsi="仿宋_GB2312" w:eastAsia="仿宋_GB2312" w:cs="仿宋_GB2312"/>
          <w:b w:val="0"/>
          <w:bCs w:val="0"/>
          <w:i w:val="0"/>
          <w:caps w:val="0"/>
          <w:color w:val="auto"/>
          <w:spacing w:val="0"/>
          <w:sz w:val="24"/>
          <w:szCs w:val="24"/>
        </w:rPr>
        <w:t>（</w:t>
      </w:r>
      <w:r>
        <w:rPr>
          <w:rFonts w:hint="default" w:ascii="仿宋_GB2312" w:hAnsi="仿宋_GB2312" w:eastAsia="仿宋_GB2312" w:cs="仿宋_GB2312"/>
          <w:b w:val="0"/>
          <w:bCs w:val="0"/>
          <w:i w:val="0"/>
          <w:caps w:val="0"/>
          <w:color w:val="auto"/>
          <w:spacing w:val="0"/>
          <w:sz w:val="24"/>
          <w:szCs w:val="24"/>
        </w:rPr>
        <w:t>4</w:t>
      </w:r>
      <w:r>
        <w:rPr>
          <w:rFonts w:hint="eastAsia" w:ascii="仿宋_GB2312" w:hAnsi="仿宋_GB2312" w:eastAsia="仿宋_GB2312" w:cs="仿宋_GB2312"/>
          <w:b w:val="0"/>
          <w:bCs w:val="0"/>
          <w:i w:val="0"/>
          <w:caps w:val="0"/>
          <w:color w:val="auto"/>
          <w:spacing w:val="0"/>
          <w:sz w:val="24"/>
          <w:szCs w:val="24"/>
        </w:rPr>
        <w:t>）考试当天，浙江“健康码”显示为红黄码，或“通信大数据行程卡”显示为非绿卡的</w:t>
      </w:r>
      <w:r>
        <w:rPr>
          <w:rFonts w:hint="eastAsia" w:ascii="仿宋_GB2312" w:hAnsi="仿宋_GB2312" w:eastAsia="仿宋_GB2312" w:cs="仿宋_GB2312"/>
          <w:b w:val="0"/>
          <w:bCs w:val="0"/>
          <w:i w:val="0"/>
          <w:caps w:val="0"/>
          <w:color w:val="000000"/>
          <w:spacing w:val="0"/>
          <w:sz w:val="24"/>
          <w:szCs w:val="24"/>
        </w:rPr>
        <w:t>考生（含浙江“健康码”临时由绿码变为红黄码和“通信大数据行程卡”临时由绿卡变为非绿卡的）。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40"/>
        <w:textAlignment w:val="auto"/>
        <w:rPr>
          <w:rFonts w:hint="eastAsia" w:ascii="仿宋_GB2312" w:hAnsi="仿宋_GB2312" w:eastAsia="仿宋_GB2312" w:cs="仿宋_GB2312"/>
          <w:b w:val="0"/>
          <w:bCs w:val="0"/>
          <w:color w:val="auto"/>
          <w:spacing w:val="0"/>
          <w:sz w:val="24"/>
          <w:szCs w:val="24"/>
        </w:rPr>
      </w:pPr>
      <w:r>
        <w:rPr>
          <w:rFonts w:hint="eastAsia" w:ascii="仿宋_GB2312" w:hAnsi="仿宋_GB2312" w:eastAsia="仿宋_GB2312" w:cs="仿宋_GB2312"/>
          <w:b w:val="0"/>
          <w:bCs w:val="0"/>
          <w:i w:val="0"/>
          <w:caps w:val="0"/>
          <w:color w:val="000000"/>
          <w:spacing w:val="0"/>
          <w:sz w:val="24"/>
          <w:szCs w:val="24"/>
        </w:rPr>
        <w:t>（</w:t>
      </w:r>
      <w:r>
        <w:rPr>
          <w:rFonts w:hint="default" w:ascii="仿宋_GB2312" w:hAnsi="仿宋_GB2312" w:eastAsia="仿宋_GB2312" w:cs="仿宋_GB2312"/>
          <w:b w:val="0"/>
          <w:bCs w:val="0"/>
          <w:i w:val="0"/>
          <w:caps w:val="0"/>
          <w:color w:val="000000"/>
          <w:spacing w:val="0"/>
          <w:sz w:val="24"/>
          <w:szCs w:val="24"/>
        </w:rPr>
        <w:t>5</w:t>
      </w:r>
      <w:r>
        <w:rPr>
          <w:rFonts w:hint="eastAsia" w:ascii="仿宋_GB2312" w:hAnsi="仿宋_GB2312" w:eastAsia="仿宋_GB2312" w:cs="仿宋_GB2312"/>
          <w:b w:val="0"/>
          <w:bCs w:val="0"/>
          <w:i w:val="0"/>
          <w:caps w:val="0"/>
          <w:color w:val="000000"/>
          <w:spacing w:val="0"/>
          <w:sz w:val="24"/>
          <w:szCs w:val="24"/>
        </w:rPr>
        <w:t>）</w:t>
      </w:r>
      <w:r>
        <w:rPr>
          <w:rFonts w:hint="eastAsia" w:ascii="仿宋_GB2312" w:hAnsi="仿宋_GB2312" w:eastAsia="仿宋_GB2312" w:cs="仿宋_GB2312"/>
          <w:b w:val="0"/>
          <w:bCs w:val="0"/>
          <w:i w:val="0"/>
          <w:caps w:val="0"/>
          <w:color w:val="000000"/>
          <w:spacing w:val="0"/>
          <w:sz w:val="24"/>
          <w:szCs w:val="24"/>
          <w:lang w:val="en-US" w:eastAsia="zh-CN"/>
        </w:rPr>
        <w:t>笔试</w:t>
      </w:r>
      <w:r>
        <w:rPr>
          <w:rFonts w:hint="eastAsia" w:ascii="仿宋_GB2312" w:hAnsi="仿宋_GB2312" w:eastAsia="仿宋_GB2312" w:cs="仿宋_GB2312"/>
          <w:b w:val="0"/>
          <w:bCs w:val="0"/>
          <w:i w:val="0"/>
          <w:caps w:val="0"/>
          <w:color w:val="000000"/>
          <w:spacing w:val="0"/>
          <w:sz w:val="24"/>
          <w:szCs w:val="24"/>
        </w:rPr>
        <w:t>前</w:t>
      </w:r>
      <w:r>
        <w:rPr>
          <w:rFonts w:hint="default" w:ascii="仿宋_GB2312" w:hAnsi="仿宋_GB2312" w:eastAsia="仿宋_GB2312" w:cs="仿宋_GB2312"/>
          <w:b w:val="0"/>
          <w:bCs w:val="0"/>
          <w:i w:val="0"/>
          <w:caps w:val="0"/>
          <w:strike w:val="0"/>
          <w:dstrike w:val="0"/>
          <w:color w:val="000000"/>
          <w:spacing w:val="0"/>
          <w:sz w:val="24"/>
          <w:szCs w:val="24"/>
          <w:highlight w:val="none"/>
        </w:rPr>
        <w:t>14天内</w:t>
      </w:r>
      <w:r>
        <w:rPr>
          <w:rFonts w:hint="eastAsia" w:ascii="仿宋_GB2312" w:hAnsi="仿宋_GB2312" w:eastAsia="仿宋_GB2312" w:cs="仿宋_GB2312"/>
          <w:b w:val="0"/>
          <w:bCs w:val="0"/>
          <w:i w:val="0"/>
          <w:caps w:val="0"/>
          <w:color w:val="000000"/>
          <w:spacing w:val="0"/>
          <w:sz w:val="24"/>
          <w:szCs w:val="24"/>
        </w:rPr>
        <w:t>有外省</w:t>
      </w:r>
      <w:r>
        <w:rPr>
          <w:rFonts w:hint="default" w:ascii="仿宋_GB2312" w:hAnsi="仿宋_GB2312" w:eastAsia="仿宋_GB2312" w:cs="仿宋_GB2312"/>
          <w:b w:val="0"/>
          <w:bCs w:val="0"/>
          <w:i w:val="0"/>
          <w:caps w:val="0"/>
          <w:color w:val="000000"/>
          <w:spacing w:val="0"/>
          <w:sz w:val="24"/>
          <w:szCs w:val="24"/>
        </w:rPr>
        <w:t>非中高风险地区</w:t>
      </w:r>
      <w:r>
        <w:rPr>
          <w:rFonts w:hint="eastAsia" w:ascii="仿宋_GB2312" w:hAnsi="仿宋_GB2312" w:eastAsia="仿宋_GB2312" w:cs="仿宋_GB2312"/>
          <w:b w:val="0"/>
          <w:bCs w:val="0"/>
          <w:i w:val="0"/>
          <w:caps w:val="0"/>
          <w:color w:val="000000"/>
          <w:spacing w:val="0"/>
          <w:sz w:val="24"/>
          <w:szCs w:val="24"/>
        </w:rPr>
        <w:t>旅居史的考生无法提供核酸检测阴性报告等相关证明材料，或提供材料不全或不符合要</w:t>
      </w:r>
      <w:r>
        <w:rPr>
          <w:rFonts w:hint="eastAsia" w:ascii="仿宋_GB2312" w:hAnsi="仿宋_GB2312" w:eastAsia="仿宋_GB2312" w:cs="仿宋_GB2312"/>
          <w:b w:val="0"/>
          <w:bCs w:val="0"/>
          <w:i w:val="0"/>
          <w:caps w:val="0"/>
          <w:color w:val="auto"/>
          <w:spacing w:val="0"/>
          <w:sz w:val="24"/>
          <w:szCs w:val="24"/>
        </w:rPr>
        <w:t>求的。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40"/>
        <w:textAlignment w:val="auto"/>
        <w:rPr>
          <w:rFonts w:hint="eastAsia" w:ascii="仿宋_GB2312" w:hAnsi="仿宋_GB2312" w:eastAsia="仿宋_GB2312" w:cs="仿宋_GB2312"/>
          <w:b w:val="0"/>
          <w:bCs w:val="0"/>
          <w:color w:val="auto"/>
          <w:spacing w:val="0"/>
          <w:sz w:val="24"/>
          <w:szCs w:val="24"/>
        </w:rPr>
      </w:pPr>
      <w:r>
        <w:rPr>
          <w:rFonts w:hint="eastAsia" w:ascii="仿宋_GB2312" w:hAnsi="仿宋_GB2312" w:eastAsia="仿宋_GB2312" w:cs="仿宋_GB2312"/>
          <w:b w:val="0"/>
          <w:bCs w:val="0"/>
          <w:i w:val="0"/>
          <w:caps w:val="0"/>
          <w:color w:val="auto"/>
          <w:spacing w:val="0"/>
          <w:sz w:val="24"/>
          <w:szCs w:val="24"/>
        </w:rPr>
        <w:t>（</w:t>
      </w:r>
      <w:r>
        <w:rPr>
          <w:rFonts w:hint="default" w:ascii="仿宋_GB2312" w:hAnsi="仿宋_GB2312" w:eastAsia="仿宋_GB2312" w:cs="仿宋_GB2312"/>
          <w:b w:val="0"/>
          <w:bCs w:val="0"/>
          <w:i w:val="0"/>
          <w:caps w:val="0"/>
          <w:color w:val="auto"/>
          <w:spacing w:val="0"/>
          <w:sz w:val="24"/>
          <w:szCs w:val="24"/>
        </w:rPr>
        <w:t>6</w:t>
      </w:r>
      <w:r>
        <w:rPr>
          <w:rFonts w:hint="eastAsia" w:ascii="仿宋_GB2312" w:hAnsi="仿宋_GB2312" w:eastAsia="仿宋_GB2312" w:cs="仿宋_GB2312"/>
          <w:b w:val="0"/>
          <w:bCs w:val="0"/>
          <w:i w:val="0"/>
          <w:caps w:val="0"/>
          <w:color w:val="auto"/>
          <w:spacing w:val="0"/>
          <w:sz w:val="24"/>
          <w:szCs w:val="24"/>
        </w:rPr>
        <w:t>）“通信大数据行程卡”带*号的考生无法提供核酸检测阴性报告等相关证明材料，或提供材料不全或不符合要求的。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40"/>
        <w:textAlignment w:val="auto"/>
        <w:rPr>
          <w:rFonts w:hint="eastAsia" w:ascii="仿宋_GB2312" w:hAnsi="仿宋_GB2312" w:eastAsia="仿宋_GB2312" w:cs="仿宋_GB2312"/>
          <w:b w:val="0"/>
          <w:bCs w:val="0"/>
          <w:i w:val="0"/>
          <w:caps w:val="0"/>
          <w:color w:val="auto"/>
          <w:spacing w:val="0"/>
          <w:sz w:val="24"/>
          <w:szCs w:val="24"/>
        </w:rPr>
      </w:pPr>
      <w:r>
        <w:rPr>
          <w:rFonts w:hint="eastAsia" w:ascii="仿宋_GB2312" w:hAnsi="仿宋_GB2312" w:eastAsia="仿宋_GB2312" w:cs="仿宋_GB2312"/>
          <w:b w:val="0"/>
          <w:bCs w:val="0"/>
          <w:i w:val="0"/>
          <w:caps w:val="0"/>
          <w:color w:val="auto"/>
          <w:spacing w:val="0"/>
          <w:sz w:val="24"/>
          <w:szCs w:val="24"/>
        </w:rPr>
        <w:t>（</w:t>
      </w:r>
      <w:r>
        <w:rPr>
          <w:rFonts w:hint="default" w:ascii="仿宋_GB2312" w:hAnsi="仿宋_GB2312" w:eastAsia="仿宋_GB2312" w:cs="仿宋_GB2312"/>
          <w:b w:val="0"/>
          <w:bCs w:val="0"/>
          <w:i w:val="0"/>
          <w:caps w:val="0"/>
          <w:color w:val="auto"/>
          <w:spacing w:val="0"/>
          <w:sz w:val="24"/>
          <w:szCs w:val="24"/>
        </w:rPr>
        <w:t>7</w:t>
      </w:r>
      <w:r>
        <w:rPr>
          <w:rFonts w:hint="eastAsia" w:ascii="仿宋_GB2312" w:hAnsi="仿宋_GB2312" w:eastAsia="仿宋_GB2312" w:cs="仿宋_GB2312"/>
          <w:b w:val="0"/>
          <w:bCs w:val="0"/>
          <w:i w:val="0"/>
          <w:caps w:val="0"/>
          <w:color w:val="auto"/>
          <w:spacing w:val="0"/>
          <w:sz w:val="24"/>
          <w:szCs w:val="24"/>
        </w:rPr>
        <w:t>）不能出示浙江“健康码”及“通信大数据行程卡”、不配合入口检测、不服从防疫管理以及经现场防疫人员判断须转送至定点医疗机构排查等情形的。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40"/>
        <w:textAlignment w:val="auto"/>
        <w:rPr>
          <w:rFonts w:hint="default" w:ascii="仿宋_GB2312" w:hAnsi="仿宋_GB2312" w:eastAsia="仿宋_GB2312" w:cs="仿宋_GB2312"/>
          <w:b w:val="0"/>
          <w:bCs w:val="0"/>
          <w:i w:val="0"/>
          <w:caps w:val="0"/>
          <w:color w:val="auto"/>
          <w:spacing w:val="0"/>
          <w:sz w:val="24"/>
          <w:szCs w:val="24"/>
          <w:lang w:val="en-US" w:eastAsia="zh-CN"/>
        </w:rPr>
      </w:pPr>
      <w:r>
        <w:rPr>
          <w:rFonts w:hint="eastAsia" w:ascii="仿宋_GB2312" w:hAnsi="仿宋_GB2312" w:eastAsia="仿宋_GB2312" w:cs="仿宋_GB2312"/>
          <w:b w:val="0"/>
          <w:bCs w:val="0"/>
          <w:i w:val="0"/>
          <w:caps w:val="0"/>
          <w:color w:val="auto"/>
          <w:spacing w:val="0"/>
          <w:sz w:val="24"/>
          <w:szCs w:val="24"/>
          <w:lang w:val="en-US" w:eastAsia="zh-CN"/>
        </w:rPr>
        <w:t>6.防疫相关要求最终以当地最新防疫政策为准。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textAlignment w:val="auto"/>
        <w:rPr>
          <w:rFonts w:hint="eastAsia" w:ascii="仿宋_GB2312" w:hAnsi="仿宋_GB2312" w:eastAsia="仿宋_GB2312" w:cs="仿宋_GB2312"/>
          <w:b w:val="0"/>
          <w:bCs w:val="0"/>
          <w:color w:val="auto"/>
          <w:spacing w:val="0"/>
          <w:sz w:val="32"/>
          <w:szCs w:val="32"/>
        </w:rPr>
      </w:pPr>
      <w:r>
        <w:rPr>
          <w:rFonts w:hint="eastAsia" w:ascii="仿宋_GB2312" w:hAnsi="仿宋_GB2312" w:eastAsia="仿宋_GB2312" w:cs="仿宋_GB2312"/>
          <w:b w:val="0"/>
          <w:bCs w:val="0"/>
          <w:i w:val="0"/>
          <w:caps w:val="0"/>
          <w:color w:val="auto"/>
          <w:spacing w:val="0"/>
          <w:sz w:val="32"/>
          <w:szCs w:val="32"/>
          <w:lang w:val="en-US" w:eastAsia="zh-CN"/>
        </w:rPr>
        <w:t xml:space="preserve">   </w:t>
      </w:r>
      <w:r>
        <w:rPr>
          <w:rFonts w:hint="eastAsia" w:ascii="仿宋_GB2312" w:hAnsi="仿宋_GB2312" w:eastAsia="仿宋_GB2312" w:cs="仿宋_GB2312"/>
          <w:b w:val="0"/>
          <w:bCs w:val="0"/>
          <w:i w:val="0"/>
          <w:caps w:val="0"/>
          <w:color w:val="auto"/>
          <w:spacing w:val="0"/>
          <w:sz w:val="32"/>
          <w:szCs w:val="32"/>
          <w:shd w:val="clear" w:color="auto" w:fill="FFFFFF"/>
        </w:rPr>
        <w:t>       </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b w:val="0"/>
          <w:bCs w:val="0"/>
          <w:i w:val="0"/>
          <w:caps w:val="0"/>
          <w:color w:val="auto"/>
          <w:spacing w:val="0"/>
          <w:sz w:val="32"/>
          <w:szCs w:val="32"/>
          <w:shd w:val="clear" w:color="auto" w:fill="FFFFFF"/>
        </w:rPr>
        <w:t> </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CE4243"/>
    <w:rsid w:val="01361417"/>
    <w:rsid w:val="01EE48C0"/>
    <w:rsid w:val="03CA6CB1"/>
    <w:rsid w:val="04CF1278"/>
    <w:rsid w:val="05D3171F"/>
    <w:rsid w:val="06FE69A9"/>
    <w:rsid w:val="08CF427E"/>
    <w:rsid w:val="08F94018"/>
    <w:rsid w:val="09842DFB"/>
    <w:rsid w:val="0B4A0671"/>
    <w:rsid w:val="0BC24F90"/>
    <w:rsid w:val="0D3F5907"/>
    <w:rsid w:val="0D7A43B0"/>
    <w:rsid w:val="0F817F14"/>
    <w:rsid w:val="125617AE"/>
    <w:rsid w:val="139171D5"/>
    <w:rsid w:val="140E355D"/>
    <w:rsid w:val="172F24F8"/>
    <w:rsid w:val="18A16863"/>
    <w:rsid w:val="193249CF"/>
    <w:rsid w:val="1B4B2DE8"/>
    <w:rsid w:val="1BF972A9"/>
    <w:rsid w:val="1CE57034"/>
    <w:rsid w:val="1E6E1480"/>
    <w:rsid w:val="1EC31478"/>
    <w:rsid w:val="23476C5E"/>
    <w:rsid w:val="25841DC7"/>
    <w:rsid w:val="261A16F2"/>
    <w:rsid w:val="27FFC317"/>
    <w:rsid w:val="2C5745C4"/>
    <w:rsid w:val="3084104B"/>
    <w:rsid w:val="33053AD0"/>
    <w:rsid w:val="33BF1975"/>
    <w:rsid w:val="33C62F95"/>
    <w:rsid w:val="35440288"/>
    <w:rsid w:val="357D7DE9"/>
    <w:rsid w:val="39780B6B"/>
    <w:rsid w:val="3B1C1798"/>
    <w:rsid w:val="3BC70F00"/>
    <w:rsid w:val="3CB5031F"/>
    <w:rsid w:val="3D390019"/>
    <w:rsid w:val="3D547141"/>
    <w:rsid w:val="3E2670D9"/>
    <w:rsid w:val="3EFD705E"/>
    <w:rsid w:val="3F855A0D"/>
    <w:rsid w:val="3FBD7AA3"/>
    <w:rsid w:val="46FD0A4C"/>
    <w:rsid w:val="4C21598A"/>
    <w:rsid w:val="4CC313BE"/>
    <w:rsid w:val="4D562E2B"/>
    <w:rsid w:val="4DCE4243"/>
    <w:rsid w:val="4E044004"/>
    <w:rsid w:val="4F7607CA"/>
    <w:rsid w:val="50217F6E"/>
    <w:rsid w:val="51AA79EC"/>
    <w:rsid w:val="52827AA5"/>
    <w:rsid w:val="54801D0B"/>
    <w:rsid w:val="54F06753"/>
    <w:rsid w:val="56C41AA3"/>
    <w:rsid w:val="57DD10A1"/>
    <w:rsid w:val="59604BA8"/>
    <w:rsid w:val="5A06060D"/>
    <w:rsid w:val="5A232EEB"/>
    <w:rsid w:val="5BD9418C"/>
    <w:rsid w:val="5CB358B8"/>
    <w:rsid w:val="5D583481"/>
    <w:rsid w:val="6360289C"/>
    <w:rsid w:val="671D0229"/>
    <w:rsid w:val="696E73E9"/>
    <w:rsid w:val="69CA3474"/>
    <w:rsid w:val="6BFC7744"/>
    <w:rsid w:val="6E3B7E08"/>
    <w:rsid w:val="6EF7316F"/>
    <w:rsid w:val="6F175BC9"/>
    <w:rsid w:val="700F0522"/>
    <w:rsid w:val="715067D9"/>
    <w:rsid w:val="72D3A359"/>
    <w:rsid w:val="73110CFF"/>
    <w:rsid w:val="737A6710"/>
    <w:rsid w:val="74161A8C"/>
    <w:rsid w:val="74315EBD"/>
    <w:rsid w:val="75753BD2"/>
    <w:rsid w:val="77791EDC"/>
    <w:rsid w:val="79EF6D18"/>
    <w:rsid w:val="7A033D26"/>
    <w:rsid w:val="7A17138A"/>
    <w:rsid w:val="7BD51DF1"/>
    <w:rsid w:val="7DFF3738"/>
    <w:rsid w:val="7E41382B"/>
    <w:rsid w:val="7E962CF0"/>
    <w:rsid w:val="7FFBB208"/>
    <w:rsid w:val="B7F310F0"/>
    <w:rsid w:val="BB7F1D03"/>
    <w:rsid w:val="BFF7ED48"/>
    <w:rsid w:val="ED297F22"/>
    <w:rsid w:val="F6E9C99A"/>
    <w:rsid w:val="F7F64013"/>
    <w:rsid w:val="FB7DB7BA"/>
    <w:rsid w:val="FEF6A28C"/>
    <w:rsid w:val="FFCFF2B7"/>
    <w:rsid w:val="FFEAA254"/>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4</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2021-11-24T01:58:00Z</dcterms:created>
  <dc:creator>Administrator</dc:creator>
  <cp:lastModifiedBy>Administrator</cp:lastModifiedBy>
  <cp:lastPrinted>2022-03-08T14:45:00Z</cp:lastPrinted>
  <dcterms:modified xsi:type="dcterms:W3CDTF">2022-03-09T07:50:20Z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woTemplateTypoMode">
    <vt:lpwstr>web</vt:lpwstr>
  </property>
  <property fmtid="{D5CDD505-2E9C-101B-9397-08002B2CF9AE}" pid="4" name="woTemplate">
    <vt:r8>1</vt:r8>
  </property>
  <property fmtid="{D5CDD505-2E9C-101B-9397-08002B2CF9AE}" pid="5" name="ICV">
    <vt:lpwstr>6D8CF8140D2F4C8BBE99ACF575245FA0</vt:lpwstr>
  </property>
</Properties>
</file>