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rPr>
          <w:rFonts w:ascii="仿宋" w:hAnsi="仿宋" w:eastAsia="仿宋" w:cs="方正小标宋简体"/>
          <w:b/>
          <w:color w:val="000000"/>
          <w:kern w:val="0"/>
          <w:sz w:val="32"/>
          <w:szCs w:val="32"/>
          <w:shd w:val="clear" w:color="auto" w:fill="FFFFFF"/>
          <w:lang w:bidi="ar"/>
        </w:rPr>
      </w:pPr>
      <w:r>
        <w:rPr>
          <w:rFonts w:hint="eastAsia" w:ascii="仿宋" w:hAnsi="仿宋" w:eastAsia="仿宋" w:cs="方正小标宋简体"/>
          <w:b/>
          <w:color w:val="000000"/>
          <w:kern w:val="0"/>
          <w:sz w:val="32"/>
          <w:szCs w:val="32"/>
          <w:shd w:val="clear" w:color="auto" w:fill="FFFFFF"/>
          <w:lang w:bidi="ar"/>
        </w:rPr>
        <w:t>附件</w:t>
      </w:r>
    </w:p>
    <w:p>
      <w:pPr>
        <w:snapToGrid w:val="0"/>
        <w:ind w:left="1075" w:leftChars="93" w:hanging="880" w:hangingChars="200"/>
        <w:rPr>
          <w:rFonts w:hint="eastAsia" w:ascii="方正小标宋简体" w:hAnsi="方正小标宋简体" w:eastAsia="方正小标宋简体" w:cs="方正小标宋简体"/>
          <w:b w:val="0"/>
          <w:bCs/>
          <w:color w:val="000000"/>
          <w:kern w:val="0"/>
          <w:sz w:val="44"/>
          <w:szCs w:val="44"/>
          <w:shd w:val="clear" w:color="auto" w:fill="FFFFFF"/>
          <w:lang w:bidi="ar"/>
        </w:rPr>
      </w:pPr>
      <w:r>
        <w:rPr>
          <w:rFonts w:hint="eastAsia" w:ascii="方正小标宋简体" w:hAnsi="方正小标宋简体" w:eastAsia="方正小标宋简体" w:cs="方正小标宋简体"/>
          <w:b w:val="0"/>
          <w:bCs/>
          <w:color w:val="000000"/>
          <w:kern w:val="0"/>
          <w:sz w:val="44"/>
          <w:szCs w:val="44"/>
          <w:shd w:val="clear" w:color="auto" w:fill="FFFFFF"/>
          <w:lang w:bidi="ar"/>
        </w:rPr>
        <w:t>昆明市执业药师职业资格考试合格     人员资格核查申诉制度（试行）</w:t>
      </w:r>
    </w:p>
    <w:p>
      <w:pPr>
        <w:snapToGrid w:val="0"/>
        <w:ind w:left="1073" w:leftChars="511" w:firstLine="1760" w:firstLineChars="400"/>
        <w:rPr>
          <w:rFonts w:hint="eastAsia" w:ascii="方正小标宋简体" w:hAnsi="方正小标宋简体" w:eastAsia="方正小标宋简体" w:cs="方正小标宋简体"/>
          <w:b w:val="0"/>
          <w:bCs/>
          <w:color w:val="000000"/>
          <w:kern w:val="0"/>
          <w:sz w:val="44"/>
          <w:szCs w:val="44"/>
          <w:shd w:val="clear" w:color="auto" w:fill="FFFFFF"/>
          <w:lang w:bidi="ar"/>
        </w:rPr>
      </w:pPr>
      <w:r>
        <w:rPr>
          <w:rFonts w:hint="eastAsia" w:ascii="方正小标宋简体" w:hAnsi="方正小标宋简体" w:eastAsia="方正小标宋简体" w:cs="方正小标宋简体"/>
          <w:b w:val="0"/>
          <w:bCs/>
          <w:color w:val="000000"/>
          <w:kern w:val="0"/>
          <w:sz w:val="44"/>
          <w:szCs w:val="44"/>
          <w:shd w:val="clear" w:color="auto" w:fill="FFFFFF"/>
          <w:lang w:bidi="ar"/>
        </w:rPr>
        <w:t>（征求意见稿</w:t>
      </w:r>
      <w:bookmarkStart w:id="1" w:name="_GoBack"/>
      <w:bookmarkEnd w:id="1"/>
      <w:r>
        <w:rPr>
          <w:rFonts w:hint="eastAsia" w:ascii="方正小标宋简体" w:hAnsi="方正小标宋简体" w:eastAsia="方正小标宋简体" w:cs="方正小标宋简体"/>
          <w:b w:val="0"/>
          <w:bCs/>
          <w:color w:val="000000"/>
          <w:kern w:val="0"/>
          <w:sz w:val="44"/>
          <w:szCs w:val="44"/>
          <w:shd w:val="clear" w:color="auto" w:fill="FFFFFF"/>
          <w:lang w:bidi="ar"/>
        </w:rPr>
        <w:t>）</w:t>
      </w:r>
    </w:p>
    <w:p>
      <w:pPr>
        <w:widowControl/>
        <w:shd w:val="clear" w:color="auto" w:fill="FFFFFF"/>
        <w:spacing w:line="363" w:lineRule="atLeast"/>
        <w:ind w:left="210" w:leftChars="100" w:firstLine="2891" w:firstLineChars="900"/>
        <w:rPr>
          <w:rFonts w:ascii="仿宋" w:hAnsi="仿宋" w:eastAsia="仿宋" w:cs="宋体"/>
          <w:b/>
          <w:bCs/>
          <w:color w:val="333333"/>
          <w:kern w:val="0"/>
          <w:sz w:val="32"/>
          <w:szCs w:val="32"/>
        </w:rPr>
      </w:pPr>
    </w:p>
    <w:p>
      <w:pPr>
        <w:widowControl/>
        <w:shd w:val="clear" w:color="auto" w:fill="FFFFFF"/>
        <w:spacing w:line="363" w:lineRule="atLeast"/>
        <w:ind w:left="210" w:leftChars="100" w:firstLine="2891" w:firstLineChars="900"/>
        <w:rPr>
          <w:rFonts w:ascii="仿宋" w:hAnsi="仿宋" w:eastAsia="仿宋" w:cs="宋体"/>
          <w:color w:val="1F1F1F"/>
          <w:kern w:val="0"/>
          <w:sz w:val="32"/>
          <w:szCs w:val="32"/>
        </w:rPr>
      </w:pPr>
      <w:r>
        <w:rPr>
          <w:rFonts w:hint="eastAsia" w:ascii="仿宋" w:hAnsi="仿宋" w:eastAsia="仿宋" w:cs="宋体"/>
          <w:b/>
          <w:bCs/>
          <w:color w:val="333333"/>
          <w:kern w:val="0"/>
          <w:sz w:val="32"/>
          <w:szCs w:val="32"/>
        </w:rPr>
        <w:t>第一章 总则</w:t>
      </w:r>
    </w:p>
    <w:p>
      <w:pPr>
        <w:widowControl/>
        <w:shd w:val="clear" w:color="auto" w:fill="FFFFFF"/>
        <w:spacing w:line="363" w:lineRule="atLeast"/>
        <w:ind w:firstLine="643" w:firstLineChars="200"/>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第一条</w:t>
      </w:r>
      <w:r>
        <w:rPr>
          <w:rFonts w:hint="eastAsia" w:ascii="仿宋" w:hAnsi="仿宋" w:eastAsia="仿宋" w:cs="宋体"/>
          <w:color w:val="000000"/>
          <w:kern w:val="0"/>
          <w:sz w:val="32"/>
          <w:szCs w:val="32"/>
        </w:rPr>
        <w:t>为保障</w:t>
      </w:r>
      <w:r>
        <w:rPr>
          <w:rFonts w:hint="eastAsia" w:ascii="仿宋" w:hAnsi="仿宋" w:eastAsia="仿宋" w:cs="仿宋"/>
          <w:sz w:val="32"/>
          <w:szCs w:val="32"/>
        </w:rPr>
        <w:t>昆明市</w:t>
      </w:r>
      <w:bookmarkStart w:id="0" w:name="_Hlk87188322"/>
      <w:r>
        <w:rPr>
          <w:rFonts w:hint="eastAsia" w:ascii="仿宋" w:hAnsi="仿宋" w:eastAsia="仿宋" w:cs="仿宋"/>
          <w:sz w:val="32"/>
          <w:szCs w:val="32"/>
        </w:rPr>
        <w:t>执业药师职业资格考试合格人员</w:t>
      </w:r>
      <w:bookmarkEnd w:id="0"/>
      <w:r>
        <w:rPr>
          <w:rFonts w:hint="eastAsia" w:ascii="仿宋" w:hAnsi="仿宋" w:eastAsia="仿宋" w:cs="仿宋"/>
          <w:sz w:val="32"/>
          <w:szCs w:val="32"/>
        </w:rPr>
        <w:t>（以下简称“考试合格人员”）</w:t>
      </w:r>
      <w:r>
        <w:rPr>
          <w:rFonts w:hint="eastAsia" w:ascii="仿宋" w:hAnsi="仿宋" w:eastAsia="仿宋" w:cs="宋体"/>
          <w:color w:val="000000"/>
          <w:kern w:val="0"/>
          <w:sz w:val="32"/>
          <w:szCs w:val="32"/>
        </w:rPr>
        <w:t>的合法权益，规范申诉程序，促进昆明市</w:t>
      </w:r>
      <w:r>
        <w:rPr>
          <w:rFonts w:hint="eastAsia" w:ascii="仿宋" w:hAnsi="仿宋" w:eastAsia="仿宋" w:cs="仿宋"/>
          <w:sz w:val="32"/>
          <w:szCs w:val="32"/>
        </w:rPr>
        <w:t>执业药师职业资格考试合格人员资格核查部门（以下简称“资格核查部门”）</w:t>
      </w:r>
      <w:r>
        <w:rPr>
          <w:rFonts w:hint="eastAsia" w:ascii="仿宋" w:hAnsi="仿宋" w:eastAsia="仿宋" w:cs="宋体"/>
          <w:color w:val="000000"/>
          <w:kern w:val="0"/>
          <w:sz w:val="32"/>
          <w:szCs w:val="32"/>
        </w:rPr>
        <w:t>依法行使职权，公正、及时地处理考生的申诉，根据</w:t>
      </w:r>
      <w:r>
        <w:rPr>
          <w:rFonts w:hint="eastAsia" w:ascii="仿宋" w:hAnsi="仿宋" w:eastAsia="仿宋" w:cs="仿宋"/>
          <w:sz w:val="32"/>
          <w:szCs w:val="32"/>
        </w:rPr>
        <w:t>《国家药监局人力资源社会保障部关于印发执业药师职业资格制度规定和执业药师职业资格考试实施办法的通知》（国药监人〔2019〕12 号）、《国家药监局执业药师资格认证中心关于执业药师职业资格考试报考条件说明的函》（药监执函〔2019〕67 号）、《云南省人力资源和社会保障厅关于进一步做好专业技术人员资格考试有关工作的通知》、云南省人事考试院印发的执业药师职业资格考试云南考区公告、云南省药监局开展执业药师职业资格考试合格人员资格审查的通知等文件</w:t>
      </w:r>
      <w:r>
        <w:rPr>
          <w:rFonts w:hint="eastAsia" w:ascii="仿宋" w:hAnsi="仿宋" w:eastAsia="仿宋" w:cs="宋体"/>
          <w:color w:val="000000"/>
          <w:kern w:val="0"/>
          <w:sz w:val="32"/>
          <w:szCs w:val="32"/>
        </w:rPr>
        <w:t>要求，结合昆明市实际，特制定本</w:t>
      </w:r>
      <w:r>
        <w:rPr>
          <w:rFonts w:hint="eastAsia" w:ascii="仿宋" w:hAnsi="仿宋" w:eastAsia="仿宋" w:cs="仿宋"/>
          <w:sz w:val="32"/>
          <w:szCs w:val="32"/>
        </w:rPr>
        <w:t>制度</w:t>
      </w:r>
      <w:r>
        <w:rPr>
          <w:rFonts w:hint="eastAsia" w:ascii="仿宋" w:hAnsi="仿宋" w:eastAsia="仿宋" w:cs="宋体"/>
          <w:color w:val="000000"/>
          <w:kern w:val="0"/>
          <w:sz w:val="32"/>
          <w:szCs w:val="32"/>
        </w:rPr>
        <w:t>。</w:t>
      </w:r>
    </w:p>
    <w:p>
      <w:pPr>
        <w:widowControl/>
        <w:shd w:val="clear" w:color="auto" w:fill="FFFFFF"/>
        <w:spacing w:line="363" w:lineRule="atLeast"/>
        <w:ind w:firstLine="643" w:firstLineChars="20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第二条</w:t>
      </w:r>
      <w:r>
        <w:rPr>
          <w:rFonts w:hint="eastAsia" w:ascii="仿宋" w:hAnsi="仿宋" w:eastAsia="仿宋" w:cs="宋体"/>
          <w:color w:val="000000"/>
          <w:kern w:val="0"/>
          <w:sz w:val="32"/>
          <w:szCs w:val="32"/>
        </w:rPr>
        <w:t>本制度所称的申诉，是指考试</w:t>
      </w:r>
      <w:r>
        <w:rPr>
          <w:rFonts w:hint="eastAsia" w:ascii="仿宋" w:hAnsi="仿宋" w:eastAsia="仿宋" w:cs="仿宋"/>
          <w:sz w:val="32"/>
          <w:szCs w:val="32"/>
        </w:rPr>
        <w:t>合格人员对资格核查部门作出的资格核查结果</w:t>
      </w:r>
      <w:r>
        <w:rPr>
          <w:rFonts w:hint="eastAsia" w:ascii="仿宋" w:hAnsi="仿宋" w:eastAsia="仿宋" w:cs="宋体"/>
          <w:color w:val="000000"/>
          <w:kern w:val="0"/>
          <w:sz w:val="32"/>
          <w:szCs w:val="32"/>
        </w:rPr>
        <w:t>不服，向昆明市市场监管局提出的意见和要求。</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第三条</w:t>
      </w:r>
      <w:r>
        <w:rPr>
          <w:rFonts w:hint="eastAsia" w:ascii="仿宋" w:hAnsi="仿宋" w:eastAsia="仿宋" w:cs="宋体"/>
          <w:color w:val="000000"/>
          <w:kern w:val="0"/>
          <w:sz w:val="32"/>
          <w:szCs w:val="32"/>
        </w:rPr>
        <w:t>本制度适用于昆明市执</w:t>
      </w:r>
      <w:r>
        <w:rPr>
          <w:rFonts w:hint="eastAsia" w:ascii="仿宋" w:hAnsi="仿宋" w:eastAsia="仿宋" w:cs="仿宋"/>
          <w:sz w:val="32"/>
          <w:szCs w:val="32"/>
        </w:rPr>
        <w:t>业药师职业资格考试合格人员资格核查后的申诉</w:t>
      </w:r>
      <w:r>
        <w:rPr>
          <w:rFonts w:hint="eastAsia" w:ascii="仿宋" w:hAnsi="仿宋" w:eastAsia="仿宋" w:cs="宋体"/>
          <w:color w:val="000000"/>
          <w:kern w:val="0"/>
          <w:sz w:val="32"/>
          <w:szCs w:val="32"/>
        </w:rPr>
        <w:t>。</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第四条</w:t>
      </w:r>
      <w:r>
        <w:rPr>
          <w:rFonts w:hint="eastAsia" w:ascii="仿宋" w:hAnsi="仿宋" w:eastAsia="仿宋" w:cs="仿宋"/>
          <w:sz w:val="32"/>
          <w:szCs w:val="32"/>
        </w:rPr>
        <w:t>考试合格人员</w:t>
      </w:r>
      <w:r>
        <w:rPr>
          <w:rFonts w:hint="eastAsia" w:ascii="仿宋" w:hAnsi="仿宋" w:eastAsia="仿宋" w:cs="宋体"/>
          <w:color w:val="000000"/>
          <w:kern w:val="0"/>
          <w:sz w:val="32"/>
          <w:szCs w:val="32"/>
        </w:rPr>
        <w:t>提出申诉应当坚持实事求是原则，严肃、认真地提出申诉，不得借申诉歪曲事实，提供虚假证明或者诬陷他人，并正确接受资格核查部门出具的复核结果，不得扰乱</w:t>
      </w:r>
      <w:r>
        <w:rPr>
          <w:rFonts w:hint="eastAsia" w:ascii="仿宋" w:hAnsi="仿宋" w:eastAsia="仿宋" w:cs="仿宋"/>
          <w:sz w:val="32"/>
          <w:szCs w:val="32"/>
        </w:rPr>
        <w:t>核查部门</w:t>
      </w:r>
      <w:r>
        <w:rPr>
          <w:rFonts w:hint="eastAsia" w:ascii="仿宋" w:hAnsi="仿宋" w:eastAsia="仿宋" w:cs="宋体"/>
          <w:color w:val="000000"/>
          <w:kern w:val="0"/>
          <w:sz w:val="32"/>
          <w:szCs w:val="32"/>
        </w:rPr>
        <w:t>工作秩序和生活秩序。资格</w:t>
      </w:r>
      <w:r>
        <w:rPr>
          <w:rFonts w:hint="eastAsia" w:ascii="仿宋" w:hAnsi="仿宋" w:eastAsia="仿宋" w:cs="仿宋"/>
          <w:sz w:val="32"/>
          <w:szCs w:val="32"/>
        </w:rPr>
        <w:t>核查部门</w:t>
      </w:r>
      <w:r>
        <w:rPr>
          <w:rFonts w:hint="eastAsia" w:ascii="仿宋" w:hAnsi="仿宋" w:eastAsia="仿宋" w:cs="宋体"/>
          <w:color w:val="000000"/>
          <w:kern w:val="0"/>
          <w:sz w:val="32"/>
          <w:szCs w:val="32"/>
        </w:rPr>
        <w:t>处理申诉时应当坚持公开、公正、有错必纠和依法、及时、适当的原则，做到事实清楚，证据确凿，定性准确，程序合法。</w:t>
      </w:r>
    </w:p>
    <w:p>
      <w:pPr>
        <w:widowControl/>
        <w:shd w:val="clear" w:color="auto" w:fill="FFFFFF"/>
        <w:spacing w:line="363" w:lineRule="atLeast"/>
        <w:ind w:firstLine="2249" w:firstLineChars="70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第二章 申诉的受理机构</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 xml:space="preserve">第五条 </w:t>
      </w:r>
      <w:r>
        <w:rPr>
          <w:rFonts w:hint="eastAsia" w:ascii="仿宋" w:hAnsi="仿宋" w:eastAsia="仿宋" w:cs="宋体"/>
          <w:color w:val="000000"/>
          <w:kern w:val="0"/>
          <w:sz w:val="32"/>
          <w:szCs w:val="32"/>
        </w:rPr>
        <w:t>资格核查部门为考试合格人员申诉的受理部门。</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 xml:space="preserve">第六条 </w:t>
      </w:r>
      <w:r>
        <w:rPr>
          <w:rFonts w:hint="eastAsia" w:ascii="仿宋" w:hAnsi="仿宋" w:eastAsia="仿宋" w:cs="宋体"/>
          <w:color w:val="000000"/>
          <w:kern w:val="0"/>
          <w:sz w:val="32"/>
          <w:szCs w:val="32"/>
        </w:rPr>
        <w:t>资格核查部门设立申诉后资格复核工作组，由下列人员组成：部门主要负责人、部门分管负责人、具体负责资格核查的工作人员等组成。</w:t>
      </w:r>
    </w:p>
    <w:p>
      <w:pPr>
        <w:widowControl/>
        <w:shd w:val="clear" w:color="auto" w:fill="FFFFFF"/>
        <w:spacing w:line="363" w:lineRule="atLeast"/>
        <w:ind w:firstLine="2570" w:firstLineChars="80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第三章 申诉的受理</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 xml:space="preserve">第七条 </w:t>
      </w:r>
      <w:r>
        <w:rPr>
          <w:rFonts w:hint="eastAsia" w:ascii="仿宋" w:hAnsi="仿宋" w:eastAsia="仿宋" w:cs="宋体"/>
          <w:color w:val="000000"/>
          <w:kern w:val="0"/>
          <w:sz w:val="32"/>
          <w:szCs w:val="32"/>
        </w:rPr>
        <w:t>省药监局第一次公示后的五个工作日内为申诉期，考试合格人员对省药监局第一次公示后的核查结果有疑问的，可在申诉期内向资格核查部门提出申诉。</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 xml:space="preserve">第八条 </w:t>
      </w:r>
      <w:r>
        <w:rPr>
          <w:rFonts w:hint="eastAsia" w:ascii="仿宋" w:hAnsi="仿宋" w:eastAsia="仿宋" w:cs="宋体"/>
          <w:color w:val="000000"/>
          <w:kern w:val="0"/>
          <w:sz w:val="32"/>
          <w:szCs w:val="32"/>
        </w:rPr>
        <w:t>在提出申诉时，考试合格人员应当向资格核查部门递交申诉申请书，申诉书应当载明下列内容：</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1.</w:t>
      </w:r>
      <w:r>
        <w:rPr>
          <w:rFonts w:hint="eastAsia" w:ascii="仿宋" w:hAnsi="仿宋" w:eastAsia="仿宋" w:cs="宋体"/>
          <w:color w:val="000000"/>
          <w:kern w:val="0"/>
          <w:sz w:val="32"/>
          <w:szCs w:val="32"/>
        </w:rPr>
        <w:t>申请人的姓名、单位、职务及其他基本情况；</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2.</w:t>
      </w:r>
      <w:r>
        <w:rPr>
          <w:rFonts w:hint="eastAsia" w:ascii="仿宋" w:hAnsi="仿宋" w:eastAsia="仿宋" w:cs="宋体"/>
          <w:color w:val="000000"/>
          <w:kern w:val="0"/>
          <w:sz w:val="32"/>
          <w:szCs w:val="32"/>
        </w:rPr>
        <w:t>申请复核的事项、理由及要求；</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Calibri"/>
          <w:color w:val="000000"/>
          <w:kern w:val="0"/>
          <w:sz w:val="32"/>
          <w:szCs w:val="32"/>
        </w:rPr>
        <w:t>3.</w:t>
      </w:r>
      <w:r>
        <w:rPr>
          <w:rFonts w:hint="eastAsia" w:ascii="仿宋" w:hAnsi="仿宋" w:eastAsia="仿宋" w:cs="宋体"/>
          <w:color w:val="000000"/>
          <w:kern w:val="0"/>
          <w:sz w:val="32"/>
          <w:szCs w:val="32"/>
        </w:rPr>
        <w:t>申诉人的亲笔签名及所提交材料真实性的保证承诺。</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宋体"/>
          <w:color w:val="000000"/>
          <w:kern w:val="0"/>
          <w:sz w:val="32"/>
          <w:szCs w:val="32"/>
        </w:rPr>
        <w:t>4</w:t>
      </w:r>
      <w:r>
        <w:rPr>
          <w:rFonts w:ascii="仿宋" w:hAnsi="仿宋" w:eastAsia="仿宋" w:cs="宋体"/>
          <w:color w:val="000000"/>
          <w:kern w:val="0"/>
          <w:sz w:val="32"/>
          <w:szCs w:val="32"/>
        </w:rPr>
        <w:t>.</w:t>
      </w:r>
      <w:r>
        <w:rPr>
          <w:rFonts w:hint="eastAsia" w:ascii="仿宋" w:hAnsi="仿宋" w:eastAsia="仿宋" w:cs="宋体"/>
          <w:color w:val="000000"/>
          <w:kern w:val="0"/>
          <w:sz w:val="32"/>
          <w:szCs w:val="32"/>
        </w:rPr>
        <w:t>提出复核申请的日期。</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 xml:space="preserve">第九条 </w:t>
      </w:r>
      <w:r>
        <w:rPr>
          <w:rFonts w:hint="eastAsia" w:ascii="仿宋" w:hAnsi="仿宋" w:eastAsia="仿宋" w:cs="宋体"/>
          <w:color w:val="000000"/>
          <w:kern w:val="0"/>
          <w:sz w:val="32"/>
          <w:szCs w:val="32"/>
        </w:rPr>
        <w:t>对考试合格人员提出的申诉，申诉后复核工作组应当予以受理，并在申诉期结束后的五个工作日内书面告知申诉人结果。</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color w:val="000000"/>
          <w:kern w:val="0"/>
          <w:sz w:val="32"/>
          <w:szCs w:val="32"/>
        </w:rPr>
        <w:t>申诉人对申诉后复核工作组核查结果不服的，可以在</w:t>
      </w:r>
      <w:r>
        <w:rPr>
          <w:rFonts w:hint="eastAsia" w:ascii="仿宋" w:hAnsi="仿宋" w:eastAsia="仿宋" w:cs="Calibri"/>
          <w:color w:val="000000"/>
          <w:kern w:val="0"/>
          <w:sz w:val="32"/>
          <w:szCs w:val="32"/>
        </w:rPr>
        <w:t>10</w:t>
      </w:r>
      <w:r>
        <w:rPr>
          <w:rFonts w:hint="eastAsia" w:ascii="仿宋" w:hAnsi="仿宋" w:eastAsia="仿宋" w:cs="宋体"/>
          <w:color w:val="000000"/>
          <w:kern w:val="0"/>
          <w:sz w:val="32"/>
          <w:szCs w:val="32"/>
        </w:rPr>
        <w:t>日内向上一级主管部门提出申诉。</w:t>
      </w:r>
    </w:p>
    <w:p>
      <w:pPr>
        <w:widowControl/>
        <w:shd w:val="clear" w:color="auto" w:fill="FFFFFF"/>
        <w:spacing w:line="363" w:lineRule="atLeast"/>
        <w:ind w:firstLine="2891" w:firstLineChars="90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第四章 申诉的处理程序</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第十条</w:t>
      </w:r>
      <w:r>
        <w:rPr>
          <w:rFonts w:hint="eastAsia" w:ascii="仿宋" w:hAnsi="仿宋" w:eastAsia="仿宋" w:cs="宋体"/>
          <w:color w:val="000000"/>
          <w:kern w:val="0"/>
          <w:sz w:val="32"/>
          <w:szCs w:val="32"/>
        </w:rPr>
        <w:t>申诉后复核工作组在接到申诉申请书后，根据考试合格人员的申诉事项，对考试合格人员第一次提交的材料进行复核后提出具体复核意见。</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宋体"/>
          <w:color w:val="000000"/>
          <w:kern w:val="0"/>
          <w:sz w:val="32"/>
          <w:szCs w:val="32"/>
        </w:rPr>
        <w:t>申诉后复核工作组有权要求申诉人所在的单位限期配合提供申诉复核所需的材料或证明。逾期未提供的，视为该申诉事人申诉不合理或无依据。</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第十一条</w:t>
      </w:r>
      <w:r>
        <w:rPr>
          <w:rFonts w:hint="eastAsia" w:ascii="仿宋" w:hAnsi="仿宋" w:eastAsia="仿宋" w:cs="宋体"/>
          <w:color w:val="000000"/>
          <w:kern w:val="0"/>
          <w:sz w:val="32"/>
          <w:szCs w:val="32"/>
        </w:rPr>
        <w:t>申诉后复核工作组根据实际情况，采用专题会议方式对申诉事项进行逐一审议。审议会议由组长召集和主持，并应有三分之二以上工作组成员出席方可开会。申诉后复核工作组通过调阅考生第一次提交的材料、对照相关文件标准后进行会议审议研究等程序进行复核后，区别下列不同情况，对申诉事项做出处理决定：</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1.</w:t>
      </w:r>
      <w:r>
        <w:rPr>
          <w:rFonts w:hint="eastAsia" w:ascii="仿宋" w:hAnsi="仿宋" w:eastAsia="仿宋" w:cs="宋体"/>
          <w:color w:val="000000"/>
          <w:kern w:val="0"/>
          <w:sz w:val="32"/>
          <w:szCs w:val="32"/>
        </w:rPr>
        <w:t>原核查决定正确的，维持原核查决定；</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2.</w:t>
      </w:r>
      <w:r>
        <w:rPr>
          <w:rFonts w:hint="eastAsia" w:ascii="仿宋" w:hAnsi="仿宋" w:eastAsia="仿宋" w:cs="宋体"/>
          <w:color w:val="000000"/>
          <w:kern w:val="0"/>
          <w:sz w:val="32"/>
          <w:szCs w:val="32"/>
        </w:rPr>
        <w:t>原核查决定依据不当或者处理明显不当的，作出变更原核查决定的决定。</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Calibri"/>
          <w:color w:val="000000"/>
          <w:kern w:val="0"/>
          <w:sz w:val="32"/>
          <w:szCs w:val="32"/>
        </w:rPr>
        <w:t>3.</w:t>
      </w:r>
      <w:r>
        <w:rPr>
          <w:rFonts w:hint="eastAsia" w:ascii="仿宋" w:hAnsi="仿宋" w:eastAsia="仿宋" w:cs="宋体"/>
          <w:color w:val="000000"/>
          <w:kern w:val="0"/>
          <w:sz w:val="32"/>
          <w:szCs w:val="32"/>
        </w:rPr>
        <w:t>原核查决定缺乏足够依据，向申诉人所在单位发出协查函协助调查清楚相关事项后重新作出处理决定。</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color w:val="000000"/>
          <w:kern w:val="0"/>
          <w:sz w:val="32"/>
          <w:szCs w:val="32"/>
        </w:rPr>
        <w:t>考试合格人员对复核结果仍不服的，可向上一级主管部门提出申诉。</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第十二条</w:t>
      </w:r>
      <w:r>
        <w:rPr>
          <w:rFonts w:ascii="Calibri" w:hAnsi="Calibri" w:eastAsia="仿宋" w:cs="Calibri"/>
          <w:color w:val="000000"/>
          <w:kern w:val="0"/>
          <w:sz w:val="32"/>
          <w:szCs w:val="32"/>
        </w:rPr>
        <w:t> </w:t>
      </w:r>
      <w:r>
        <w:rPr>
          <w:rFonts w:hint="eastAsia" w:ascii="仿宋" w:hAnsi="仿宋" w:eastAsia="仿宋" w:cs="宋体"/>
          <w:color w:val="000000"/>
          <w:kern w:val="0"/>
          <w:sz w:val="32"/>
          <w:szCs w:val="32"/>
        </w:rPr>
        <w:t>申诉复核工作组完成申诉复核后，应当制作规范的执业药师资格核查资格复核告知书，资格复核告知书应当包括下列内容：</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1.</w:t>
      </w:r>
      <w:r>
        <w:rPr>
          <w:rFonts w:hint="eastAsia" w:ascii="仿宋" w:hAnsi="仿宋" w:eastAsia="仿宋" w:cs="宋体"/>
          <w:color w:val="000000"/>
          <w:kern w:val="0"/>
          <w:sz w:val="32"/>
          <w:szCs w:val="32"/>
        </w:rPr>
        <w:t>申诉人基本情况；</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2.</w:t>
      </w:r>
      <w:r>
        <w:rPr>
          <w:rFonts w:hint="eastAsia" w:ascii="仿宋" w:hAnsi="仿宋" w:eastAsia="仿宋" w:cs="宋体"/>
          <w:color w:val="000000"/>
          <w:kern w:val="0"/>
          <w:sz w:val="32"/>
          <w:szCs w:val="32"/>
        </w:rPr>
        <w:t>申诉请求；</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Calibri"/>
          <w:color w:val="000000"/>
          <w:kern w:val="0"/>
          <w:sz w:val="32"/>
          <w:szCs w:val="32"/>
        </w:rPr>
        <w:t>3.资格</w:t>
      </w:r>
      <w:r>
        <w:rPr>
          <w:rFonts w:hint="eastAsia" w:ascii="仿宋" w:hAnsi="仿宋" w:eastAsia="仿宋" w:cs="宋体"/>
          <w:color w:val="000000"/>
          <w:kern w:val="0"/>
          <w:sz w:val="32"/>
          <w:szCs w:val="32"/>
        </w:rPr>
        <w:t>复核认定的事实、依据及结果；</w:t>
      </w:r>
    </w:p>
    <w:p>
      <w:pPr>
        <w:widowControl/>
        <w:shd w:val="clear" w:color="auto" w:fill="FFFFFF"/>
        <w:spacing w:line="363" w:lineRule="atLeast"/>
        <w:ind w:firstLine="420"/>
        <w:rPr>
          <w:rFonts w:ascii="仿宋" w:hAnsi="仿宋" w:eastAsia="仿宋" w:cs="宋体"/>
          <w:color w:val="1F1F1F"/>
          <w:kern w:val="0"/>
          <w:sz w:val="32"/>
          <w:szCs w:val="32"/>
        </w:rPr>
      </w:pPr>
      <w:r>
        <w:rPr>
          <w:rFonts w:ascii="仿宋" w:hAnsi="仿宋" w:eastAsia="仿宋" w:cs="Calibri"/>
          <w:color w:val="000000"/>
          <w:kern w:val="0"/>
          <w:sz w:val="32"/>
          <w:szCs w:val="32"/>
        </w:rPr>
        <w:t>4</w:t>
      </w:r>
      <w:r>
        <w:rPr>
          <w:rFonts w:hint="eastAsia" w:ascii="仿宋" w:hAnsi="仿宋" w:eastAsia="仿宋" w:cs="Calibri"/>
          <w:color w:val="000000"/>
          <w:kern w:val="0"/>
          <w:sz w:val="32"/>
          <w:szCs w:val="32"/>
        </w:rPr>
        <w:t>.</w:t>
      </w:r>
      <w:r>
        <w:rPr>
          <w:rFonts w:hint="eastAsia" w:ascii="仿宋" w:hAnsi="仿宋" w:eastAsia="仿宋" w:cs="宋体"/>
          <w:color w:val="000000"/>
          <w:kern w:val="0"/>
          <w:sz w:val="32"/>
          <w:szCs w:val="32"/>
        </w:rPr>
        <w:t>申诉人不服申诉复核结果可向上一级主管部门提起申诉的权利；</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color w:val="000000"/>
          <w:kern w:val="0"/>
          <w:sz w:val="32"/>
          <w:szCs w:val="32"/>
        </w:rPr>
        <w:t>申诉复核工作组要将资格复核告知书及时送达申诉人。送达方式可采取下列任何一种：本人签收和按申请书通讯地址邮寄送达。</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第十三条</w:t>
      </w:r>
      <w:r>
        <w:rPr>
          <w:rFonts w:hint="eastAsia" w:ascii="仿宋" w:hAnsi="仿宋" w:eastAsia="仿宋" w:cs="宋体"/>
          <w:color w:val="000000"/>
          <w:kern w:val="0"/>
          <w:sz w:val="32"/>
          <w:szCs w:val="32"/>
        </w:rPr>
        <w:t>在未作出资格复核决定前，考试合格人员可以撤回申诉，要求撤回申诉的，必须以书面形式提出。申诉复核工作组在接到关于撤回申诉的申请书后，可以停止受理工作。</w:t>
      </w:r>
    </w:p>
    <w:p>
      <w:pPr>
        <w:widowControl/>
        <w:shd w:val="clear" w:color="auto" w:fill="FFFFFF"/>
        <w:spacing w:line="363" w:lineRule="atLeast"/>
        <w:rPr>
          <w:rFonts w:ascii="仿宋" w:hAnsi="仿宋" w:eastAsia="仿宋" w:cs="宋体"/>
          <w:color w:val="000000"/>
          <w:kern w:val="0"/>
          <w:sz w:val="32"/>
          <w:szCs w:val="32"/>
        </w:rPr>
      </w:pPr>
      <w:r>
        <w:rPr>
          <w:rFonts w:hint="eastAsia" w:ascii="仿宋" w:hAnsi="仿宋" w:eastAsia="仿宋" w:cs="宋体"/>
          <w:color w:val="000000"/>
          <w:kern w:val="0"/>
          <w:sz w:val="32"/>
          <w:szCs w:val="32"/>
        </w:rPr>
        <w:t>考试合格人员工撤回申诉的，不得以相同理由再次申诉。</w:t>
      </w:r>
    </w:p>
    <w:p>
      <w:pPr>
        <w:widowControl/>
        <w:shd w:val="clear" w:color="auto" w:fill="FFFFFF"/>
        <w:spacing w:line="363" w:lineRule="atLeast"/>
        <w:ind w:firstLine="2570" w:firstLineChars="800"/>
        <w:rPr>
          <w:rFonts w:ascii="仿宋" w:hAnsi="仿宋" w:eastAsia="仿宋" w:cs="宋体"/>
          <w:color w:val="1F1F1F"/>
          <w:kern w:val="0"/>
          <w:sz w:val="32"/>
          <w:szCs w:val="32"/>
        </w:rPr>
      </w:pPr>
      <w:r>
        <w:rPr>
          <w:rFonts w:hint="eastAsia" w:ascii="仿宋" w:hAnsi="仿宋" w:eastAsia="仿宋" w:cs="宋体"/>
          <w:b/>
          <w:bCs/>
          <w:color w:val="000000"/>
          <w:kern w:val="0"/>
          <w:sz w:val="32"/>
          <w:szCs w:val="32"/>
        </w:rPr>
        <w:t>第五章 附则</w:t>
      </w:r>
    </w:p>
    <w:p>
      <w:pPr>
        <w:widowControl/>
        <w:shd w:val="clear" w:color="auto" w:fill="FFFFFF"/>
        <w:spacing w:line="363" w:lineRule="atLeast"/>
        <w:ind w:firstLine="420"/>
        <w:rPr>
          <w:rFonts w:ascii="仿宋" w:hAnsi="仿宋" w:eastAsia="仿宋" w:cs="宋体"/>
          <w:color w:val="000000"/>
          <w:kern w:val="0"/>
          <w:sz w:val="32"/>
          <w:szCs w:val="32"/>
        </w:rPr>
      </w:pPr>
      <w:r>
        <w:rPr>
          <w:rFonts w:hint="eastAsia" w:ascii="仿宋" w:hAnsi="仿宋" w:eastAsia="仿宋" w:cs="宋体"/>
          <w:b/>
          <w:bCs/>
          <w:color w:val="000000"/>
          <w:kern w:val="0"/>
          <w:sz w:val="32"/>
          <w:szCs w:val="32"/>
        </w:rPr>
        <w:t>第十四条</w:t>
      </w:r>
      <w:r>
        <w:rPr>
          <w:rFonts w:hint="eastAsia" w:ascii="仿宋" w:hAnsi="仿宋" w:eastAsia="仿宋" w:cs="仿宋"/>
          <w:sz w:val="32"/>
          <w:szCs w:val="32"/>
        </w:rPr>
        <w:t>考试合格人员</w:t>
      </w:r>
      <w:r>
        <w:rPr>
          <w:rFonts w:hint="eastAsia" w:ascii="仿宋" w:hAnsi="仿宋" w:eastAsia="仿宋" w:cs="宋体"/>
          <w:color w:val="000000"/>
          <w:kern w:val="0"/>
          <w:sz w:val="32"/>
          <w:szCs w:val="32"/>
        </w:rPr>
        <w:t>在资格核查和申诉复核全过程中提交虚假证明材料的，一经查实，即将申诉人不诚信行为通过昆明市市场主体信用信息服务监管平台、信用昆明进行公示。</w:t>
      </w:r>
    </w:p>
    <w:p>
      <w:pPr>
        <w:widowControl/>
        <w:shd w:val="clear" w:color="auto" w:fill="FFFFFF"/>
        <w:spacing w:line="363" w:lineRule="atLeast"/>
        <w:ind w:firstLine="420"/>
        <w:rPr>
          <w:rFonts w:ascii="仿宋" w:hAnsi="仿宋" w:eastAsia="仿宋" w:cs="宋体"/>
          <w:color w:val="1F1F1F"/>
          <w:kern w:val="0"/>
          <w:sz w:val="32"/>
          <w:szCs w:val="32"/>
        </w:rPr>
      </w:pPr>
      <w:r>
        <w:rPr>
          <w:rFonts w:hint="eastAsia" w:ascii="仿宋" w:hAnsi="仿宋" w:eastAsia="仿宋" w:cs="仿宋"/>
          <w:b/>
          <w:bCs/>
          <w:sz w:val="32"/>
          <w:szCs w:val="32"/>
        </w:rPr>
        <w:t>第十五条</w:t>
      </w:r>
      <w:r>
        <w:rPr>
          <w:rFonts w:hint="eastAsia" w:ascii="仿宋" w:hAnsi="仿宋" w:eastAsia="仿宋" w:cs="宋体"/>
          <w:color w:val="000000"/>
          <w:kern w:val="0"/>
          <w:sz w:val="32"/>
          <w:szCs w:val="32"/>
        </w:rPr>
        <w:t>本规定自公布之日起施行。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7961A0"/>
    <w:rsid w:val="76796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昆明市直属党政机关单位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2021-11-23T07:29:00Z</dcterms:created>
  <dc:creator>lll</dc:creator>
  <cp:lastModifiedBy>lll</cp:lastModifiedBy>
  <dcterms:modified xsi:type="dcterms:W3CDTF">2021-11-23T07:29:58Z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