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60"/>
        </w:tabs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附件2</w:t>
      </w:r>
    </w:p>
    <w:p>
      <w:pPr>
        <w:adjustRightInd w:val="0"/>
        <w:snapToGrid w:val="0"/>
        <w:spacing w:line="640" w:lineRule="exact"/>
        <w:jc w:val="center"/>
        <w:rPr>
          <w:rFonts w:ascii="宋体" w:hAnsi="宋体" w:eastAsia="小标宋" w:cs="宋体"/>
          <w:color w:val="000000"/>
          <w:sz w:val="44"/>
          <w:szCs w:val="44"/>
        </w:rPr>
      </w:pPr>
    </w:p>
    <w:p>
      <w:pPr>
        <w:adjustRightInd w:val="0"/>
        <w:snapToGrid w:val="0"/>
        <w:spacing w:line="640" w:lineRule="exact"/>
        <w:jc w:val="center"/>
        <w:rPr>
          <w:rFonts w:ascii="宋体" w:hAnsi="宋体" w:eastAsia="小标宋" w:cs="宋体"/>
          <w:color w:val="000000"/>
          <w:sz w:val="44"/>
          <w:szCs w:val="44"/>
        </w:rPr>
      </w:pPr>
      <w:r>
        <w:rPr>
          <w:rFonts w:hint="eastAsia" w:ascii="宋体" w:hAnsi="宋体" w:eastAsia="小标宋" w:cs="宋体"/>
          <w:color w:val="000000"/>
          <w:sz w:val="44"/>
          <w:szCs w:val="44"/>
        </w:rPr>
        <w:t>江西省职称申报评审系统组织机构创建规则</w:t>
      </w:r>
    </w:p>
    <w:p>
      <w:pPr>
        <w:adjustRightInd w:val="0"/>
        <w:snapToGrid w:val="0"/>
        <w:spacing w:line="640" w:lineRule="exact"/>
        <w:rPr>
          <w:rFonts w:ascii="宋体" w:hAnsi="宋体" w:eastAsia="小标宋" w:cs="宋体"/>
          <w:color w:val="000000"/>
          <w:sz w:val="44"/>
          <w:szCs w:val="44"/>
        </w:rPr>
      </w:pPr>
    </w:p>
    <w:p>
      <w:pPr>
        <w:adjustRightInd w:val="0"/>
        <w:ind w:firstLine="624" w:firstLineChars="200"/>
        <w:jc w:val="left"/>
        <w:rPr>
          <w:rFonts w:ascii="仿宋_GB2312"/>
          <w:color w:val="000000"/>
          <w:spacing w:val="-4"/>
          <w:szCs w:val="32"/>
        </w:rPr>
      </w:pPr>
      <w:r>
        <w:rPr>
          <w:rFonts w:hint="eastAsia" w:ascii="仿宋_GB2312"/>
          <w:color w:val="000000"/>
          <w:spacing w:val="-4"/>
          <w:szCs w:val="32"/>
        </w:rPr>
        <w:t>登录系统管理界面，自上而下创建所辖范围的下级组织机构（已创建的无需再创建）。</w:t>
      </w:r>
    </w:p>
    <w:p>
      <w:pPr>
        <w:adjustRightInd w:val="0"/>
        <w:ind w:firstLine="640" w:firstLineChars="200"/>
        <w:jc w:val="left"/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一、国有企事业单位按下列规则分级创建</w:t>
      </w:r>
    </w:p>
    <w:p>
      <w:pPr>
        <w:adjustRightInd w:val="0"/>
        <w:ind w:firstLine="640" w:firstLineChars="20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1.省职称办负责创建各设区市职称办、省直部门、省属单位（包括省属科研院所、省属高校、省属企业等）、省</w:t>
      </w:r>
      <w:r>
        <w:rPr>
          <w:rFonts w:hint="eastAsia" w:ascii="仿宋_GB2312"/>
          <w:szCs w:val="32"/>
        </w:rPr>
        <w:t>就业创业公共服务部门</w:t>
      </w:r>
      <w:r>
        <w:rPr>
          <w:rFonts w:hint="eastAsia" w:ascii="仿宋_GB2312"/>
          <w:color w:val="000000"/>
          <w:szCs w:val="32"/>
        </w:rPr>
        <w:t>（原省人才交流中心）、委托评审的中央驻赣单位组织机构账号；</w:t>
      </w:r>
    </w:p>
    <w:p>
      <w:pPr>
        <w:adjustRightInd w:val="0"/>
        <w:ind w:firstLine="640" w:firstLineChars="20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2.设区市职称办负责创建各县（市、区）职称办、市直部门、市属单位（包括市属科研院所、市属学校、市属企业等）、市</w:t>
      </w:r>
      <w:r>
        <w:rPr>
          <w:rFonts w:hint="eastAsia" w:ascii="仿宋_GB2312"/>
          <w:szCs w:val="32"/>
        </w:rPr>
        <w:t>就业创业公共服务部门</w:t>
      </w:r>
      <w:r>
        <w:rPr>
          <w:rFonts w:hint="eastAsia" w:ascii="仿宋_GB2312"/>
          <w:color w:val="000000"/>
          <w:szCs w:val="32"/>
        </w:rPr>
        <w:t>（原市人才交流中心）组织机构账号；</w:t>
      </w:r>
    </w:p>
    <w:p>
      <w:pPr>
        <w:adjustRightInd w:val="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 xml:space="preserve">    3.县（市、区）职称办负责创建县（市、区）直部门、县（市、区）属单位〔包括县（市、区）属科研院所、县（市、区）属学校、县（市、区）属企业等〕、县（市、区）</w:t>
      </w:r>
      <w:r>
        <w:rPr>
          <w:rFonts w:hint="eastAsia" w:ascii="仿宋_GB2312"/>
          <w:szCs w:val="32"/>
        </w:rPr>
        <w:t>就业创业公共服务部门</w:t>
      </w:r>
      <w:r>
        <w:rPr>
          <w:rFonts w:hint="eastAsia" w:ascii="仿宋_GB2312"/>
          <w:color w:val="000000"/>
          <w:szCs w:val="32"/>
        </w:rPr>
        <w:t>（原人才交流中心）组织机构账号；</w:t>
      </w:r>
    </w:p>
    <w:p>
      <w:pPr>
        <w:adjustRightInd w:val="0"/>
        <w:ind w:firstLine="640" w:firstLineChars="20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4.省市县各级直属部门负责创建所属单位组织机构账号，省市县各级直属单位负责创建所属单位组织机构账号。</w:t>
      </w:r>
    </w:p>
    <w:p>
      <w:pPr>
        <w:adjustRightInd w:val="0"/>
        <w:ind w:firstLine="640" w:firstLineChars="200"/>
        <w:jc w:val="left"/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二、民营组织机构按下列规则分类归口创建</w:t>
      </w:r>
    </w:p>
    <w:p>
      <w:pPr>
        <w:adjustRightInd w:val="0"/>
        <w:ind w:firstLine="640" w:firstLineChars="20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1.民办高校高职账号由省教育厅负责创建；</w:t>
      </w:r>
    </w:p>
    <w:p>
      <w:pPr>
        <w:adjustRightInd w:val="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 xml:space="preserve">    2.民办技工院校账号由省人社厅负责创建；</w:t>
      </w:r>
    </w:p>
    <w:p>
      <w:pPr>
        <w:adjustRightInd w:val="0"/>
        <w:ind w:firstLine="64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3.民办中小学校账号由其注册核准机构的同级政府教育部门负责创建；</w:t>
      </w:r>
    </w:p>
    <w:p>
      <w:pPr>
        <w:adjustRightInd w:val="0"/>
        <w:ind w:firstLine="64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4.民营医院账号由其注册核准机构的同级政府卫健部门负责创建；</w:t>
      </w:r>
    </w:p>
    <w:p>
      <w:pPr>
        <w:adjustRightInd w:val="0"/>
        <w:ind w:firstLine="640" w:firstLineChars="20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5.民营企业账号按属地管理原则由企业所在地县（市、区）职称办负责创建。</w:t>
      </w:r>
    </w:p>
    <w:p>
      <w:pPr>
        <w:adjustRightInd w:val="0"/>
        <w:ind w:firstLine="640" w:firstLineChars="200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创建组织机构一律使用单位全称（与单位公章一致），并确保准确无误。在创建组织机构的同时，系统自动创建了系统管理员账号，系统管理员账号为生成的组织机构编码。系统管理员负责创建下级组织机构和本级业务管理员，并为本级业务管理员分配角色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237F0"/>
    <w:rsid w:val="0F936846"/>
    <w:rsid w:val="3C82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2021-07-09T08:28:00Z</dcterms:created>
  <dc:creator>“ 隨 訫…</dc:creator>
  <cp:lastModifiedBy>“ 隨 訫…</cp:lastModifiedBy>
  <dcterms:modified xsi:type="dcterms:W3CDTF">2021-07-09T08:30:38Z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63FD5342344B45378AA0705C9891B302</vt:lpwstr>
  </property>
</Properties>
</file>