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color w:val="auto"/>
          <w:sz w:val="28"/>
          <w:szCs w:val="28"/>
          <w:highlight w:val="none"/>
        </w:rPr>
        <w:t>附件3：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四川天府健康通健康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码申领流程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1.微信搜索“天府健康通”或长按识别下方二维码进入天府健康通小程序；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3810000" cy="2609850"/>
            <wp:effectExtent l="0" t="0" r="0" b="0"/>
            <wp:docPr id="5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609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952500" cy="952500"/>
            <wp:effectExtent l="0" t="0" r="0" b="0"/>
            <wp:docPr id="6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2.进入小程序后，在健康码一栏点击“出示我的健康码”，即可进入四川天府健康通通行码申领页面；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3810000" cy="8258175"/>
            <wp:effectExtent l="0" t="0" r="0" b="9525"/>
            <wp:docPr id="7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8258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3.在此进行个人登录后，并进行人脸识别实名认证；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3810000" cy="8258175"/>
            <wp:effectExtent l="0" t="0" r="0" b="9525"/>
            <wp:docPr id="1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8258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3810000" cy="4924425"/>
            <wp:effectExtent l="0" t="0" r="0" b="9525"/>
            <wp:docPr id="2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4924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4.认证完成后，按个人实际情况如实填写个人防疫信息，最后点击下方的“完成”；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3810000" cy="8258175"/>
            <wp:effectExtent l="0" t="0" r="0" b="9525"/>
            <wp:docPr id="3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8258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5.完成健康申报后即可生成健康码。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3810000" cy="8258175"/>
            <wp:effectExtent l="0" t="0" r="0" b="9525"/>
            <wp:docPr id="4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8258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425E1B"/>
    <w:rsid w:val="30425E1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iPriority w:val="0"/>
    <w:pPr>
      <w:ind w:firstLine="420" w:firstLineChars="100"/>
    </w:pPr>
  </w:style>
  <w:style w:type="paragraph" w:styleId="3">
    <w:name w:val="Body Text"/>
    <w:basedOn w:val="1"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  <w:lang w:bidi="ar-SA"/>
    </w:rPr>
  </w:style>
  <w:style w:type="paragraph" w:styleId="4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2021-05-21T07:46:00Z</dcterms:created>
  <dc:creator>jp</dc:creator>
  <cp:lastModifiedBy>jp</cp:lastModifiedBy>
  <dcterms:modified xsi:type="dcterms:W3CDTF">2021-05-21T07:47:09Z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