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jc w:val="center"/>
        <w:rPr>
          <w:rFonts w:ascii="宋体" w:cs="宋体"/>
          <w:b/>
          <w:color w:val="000000" w:themeColor="text1"/>
          <w:w w:val="85"/>
          <w:kern w:val="0"/>
          <w:sz w:val="44"/>
          <w:szCs w:val="44"/>
          <w14:textFill>
            <w14:solidFill>
              <w14:schemeClr w14:val="tx1"/>
            </w14:solidFill>
          </w14:textFill>
        </w:rPr>
      </w:pPr>
      <w:bookmarkStart w:id="0" w:name="_Toc6286_WPSOffice_Level1"/>
      <w:r>
        <w:rPr>
          <w:rFonts w:hint="eastAsia" w:ascii="宋体" w:hAnsi="宋体" w:cs="宋体"/>
          <w:b/>
          <w:color w:val="000000" w:themeColor="text1"/>
          <w:w w:val="85"/>
          <w:kern w:val="0"/>
          <w:sz w:val="44"/>
          <w:szCs w:val="44"/>
          <w:lang w:eastAsia="zh-CN"/>
          <w14:textFill>
            <w14:solidFill>
              <w14:schemeClr w14:val="tx1"/>
            </w14:solidFill>
          </w14:textFill>
        </w:rPr>
        <w:t>厦门医学院附属第二医院、附属口腔医院</w:t>
      </w:r>
      <w:r>
        <w:rPr>
          <w:rFonts w:hint="eastAsia" w:ascii="宋体" w:hAnsi="宋体" w:cs="宋体"/>
          <w:b/>
          <w:color w:val="000000" w:themeColor="text1"/>
          <w:w w:val="85"/>
          <w:kern w:val="0"/>
          <w:sz w:val="44"/>
          <w:szCs w:val="44"/>
          <w14:textFill>
            <w14:solidFill>
              <w14:schemeClr w14:val="tx1"/>
            </w14:solidFill>
          </w14:textFill>
        </w:rPr>
        <w:t>补充编内工作人员考试报考指南</w:t>
      </w:r>
      <w:bookmarkEnd w:id="0"/>
      <w:r>
        <w:rPr>
          <w:rFonts w:hint="eastAsia" w:ascii="宋体" w:hAnsi="宋体" w:cs="宋体"/>
          <w:b/>
          <w:color w:val="000000" w:themeColor="text1"/>
          <w:w w:val="85"/>
          <w:kern w:val="0"/>
          <w:sz w:val="44"/>
          <w:szCs w:val="44"/>
          <w14:textFill>
            <w14:solidFill>
              <w14:schemeClr w14:val="tx1"/>
            </w14:solidFill>
          </w14:textFill>
        </w:rPr>
        <w:t>（</w:t>
      </w:r>
      <w:r>
        <w:rPr>
          <w:rFonts w:ascii="宋体" w:hAnsi="宋体" w:cs="宋体"/>
          <w:b/>
          <w:color w:val="000000" w:themeColor="text1"/>
          <w:w w:val="85"/>
          <w:kern w:val="0"/>
          <w:sz w:val="44"/>
          <w:szCs w:val="44"/>
          <w14:textFill>
            <w14:solidFill>
              <w14:schemeClr w14:val="tx1"/>
            </w14:solidFill>
          </w14:textFill>
        </w:rPr>
        <w:t>2021</w:t>
      </w:r>
      <w:r>
        <w:rPr>
          <w:rFonts w:hint="eastAsia" w:ascii="宋体" w:hAnsi="宋体" w:cs="宋体"/>
          <w:b/>
          <w:color w:val="000000" w:themeColor="text1"/>
          <w:w w:val="85"/>
          <w:kern w:val="0"/>
          <w:sz w:val="44"/>
          <w:szCs w:val="44"/>
          <w14:textFill>
            <w14:solidFill>
              <w14:schemeClr w14:val="tx1"/>
            </w14:solidFill>
          </w14:textFill>
        </w:rPr>
        <w:t>年</w:t>
      </w:r>
      <w:r>
        <w:rPr>
          <w:rFonts w:ascii="宋体" w:hAnsi="宋体" w:cs="宋体"/>
          <w:b/>
          <w:color w:val="000000" w:themeColor="text1"/>
          <w:w w:val="85"/>
          <w:kern w:val="0"/>
          <w:sz w:val="44"/>
          <w:szCs w:val="44"/>
          <w14:textFill>
            <w14:solidFill>
              <w14:schemeClr w14:val="tx1"/>
            </w14:solidFill>
          </w14:textFill>
        </w:rPr>
        <w:t>4</w:t>
      </w:r>
      <w:r>
        <w:rPr>
          <w:rFonts w:hint="eastAsia" w:ascii="宋体" w:hAnsi="宋体" w:cs="宋体"/>
          <w:b/>
          <w:color w:val="000000" w:themeColor="text1"/>
          <w:w w:val="85"/>
          <w:kern w:val="0"/>
          <w:sz w:val="44"/>
          <w:szCs w:val="44"/>
          <w14:textFill>
            <w14:solidFill>
              <w14:schemeClr w14:val="tx1"/>
            </w14:solidFill>
          </w14:textFill>
        </w:rPr>
        <w:t>月）</w:t>
      </w:r>
    </w:p>
    <w:p>
      <w:pPr>
        <w:jc w:val="center"/>
        <w:rPr>
          <w:rFonts w:ascii="宋体"/>
          <w:b/>
          <w:bCs/>
          <w:color w:val="000000" w:themeColor="text1"/>
          <w:sz w:val="44"/>
          <w:szCs w:val="44"/>
          <w14:textFill>
            <w14:solidFill>
              <w14:schemeClr w14:val="tx1"/>
            </w14:solidFill>
          </w14:textFill>
        </w:rPr>
      </w:pPr>
    </w:p>
    <w:p>
      <w:pPr>
        <w:spacing w:afterLines="100" w:line="500" w:lineRule="exact"/>
        <w:jc w:val="center"/>
        <w:rPr>
          <w:rFonts w:ascii="宋体"/>
          <w:b/>
          <w:bCs/>
          <w:color w:val="000000" w:themeColor="text1"/>
          <w:sz w:val="44"/>
          <w:szCs w:val="44"/>
          <w14:textFill>
            <w14:solidFill>
              <w14:schemeClr w14:val="tx1"/>
            </w14:solidFill>
          </w14:textFill>
        </w:rPr>
      </w:pPr>
      <w:r>
        <w:rPr>
          <w:rFonts w:hint="eastAsia" w:ascii="宋体" w:hAnsi="宋体"/>
          <w:b/>
          <w:bCs/>
          <w:color w:val="000000" w:themeColor="text1"/>
          <w:sz w:val="44"/>
          <w:szCs w:val="44"/>
          <w14:textFill>
            <w14:solidFill>
              <w14:schemeClr w14:val="tx1"/>
            </w14:solidFill>
          </w14:textFill>
        </w:rPr>
        <w:t>目录</w:t>
      </w:r>
    </w:p>
    <w:p>
      <w:pPr>
        <w:pStyle w:val="18"/>
        <w:tabs>
          <w:tab w:val="right" w:leader="dot" w:pos="8306"/>
        </w:tabs>
        <w:spacing w:line="420" w:lineRule="exact"/>
        <w:rPr>
          <w:rFonts w:ascii="黑体" w:hAnsi="黑体" w:eastAsia="黑体" w:cs="黑体"/>
          <w:color w:val="000000" w:themeColor="text1"/>
          <w:sz w:val="28"/>
          <w:szCs w:val="28"/>
          <w14:textFill>
            <w14:solidFill>
              <w14:schemeClr w14:val="tx1"/>
            </w14:solidFill>
          </w14:textFill>
        </w:rPr>
      </w:pPr>
      <w:r>
        <w:rPr>
          <w:rFonts w:ascii="黑体" w:hAnsi="黑体" w:eastAsia="黑体" w:cs="黑体"/>
          <w:color w:val="000000" w:themeColor="text1"/>
          <w:sz w:val="28"/>
          <w:szCs w:val="28"/>
          <w14:textFill>
            <w14:solidFill>
              <w14:schemeClr w14:val="tx1"/>
            </w14:solidFill>
          </w14:textFill>
        </w:rPr>
        <w:fldChar w:fldCharType="begin"/>
      </w:r>
      <w:r>
        <w:rPr>
          <w:rFonts w:ascii="黑体" w:hAnsi="黑体" w:eastAsia="黑体" w:cs="黑体"/>
          <w:color w:val="000000" w:themeColor="text1"/>
          <w:sz w:val="28"/>
          <w:szCs w:val="28"/>
          <w14:textFill>
            <w14:solidFill>
              <w14:schemeClr w14:val="tx1"/>
            </w14:solidFill>
          </w14:textFill>
        </w:rPr>
        <w:instrText xml:space="preserve">TOC \o "1-2" \h \u </w:instrText>
      </w:r>
      <w:r>
        <w:rPr>
          <w:rFonts w:ascii="黑体" w:hAnsi="黑体" w:eastAsia="黑体" w:cs="黑体"/>
          <w:color w:val="000000" w:themeColor="text1"/>
          <w:sz w:val="28"/>
          <w:szCs w:val="28"/>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"_Toc10459" </w:instrText>
      </w:r>
      <w:r>
        <w:rPr>
          <w:color w:val="000000" w:themeColor="text1"/>
          <w14:textFill>
            <w14:solidFill>
              <w14:schemeClr w14:val="tx1"/>
            </w14:solidFill>
          </w14:textFill>
        </w:rPr>
        <w:fldChar w:fldCharType="separate"/>
      </w:r>
      <w:r>
        <w:rPr>
          <w:rFonts w:hint="eastAsia" w:ascii="黑体" w:hAnsi="黑体" w:eastAsia="黑体" w:cs="黑体"/>
          <w:color w:val="000000" w:themeColor="text1"/>
          <w:sz w:val="28"/>
          <w:szCs w:val="28"/>
          <w14:textFill>
            <w14:solidFill>
              <w14:schemeClr w14:val="tx1"/>
            </w14:solidFill>
          </w14:textFill>
        </w:rPr>
        <w:t>一、基本条件</w:t>
      </w:r>
      <w:r>
        <w:rPr>
          <w:rFonts w:ascii="黑体" w:hAnsi="黑体" w:eastAsia="黑体" w:cs="黑体"/>
          <w:color w:val="000000" w:themeColor="text1"/>
          <w:sz w:val="28"/>
          <w:szCs w:val="28"/>
          <w14:textFill>
            <w14:solidFill>
              <w14:schemeClr w14:val="tx1"/>
            </w14:solidFill>
          </w14:textFill>
        </w:rPr>
        <w:tab/>
      </w:r>
      <w:r>
        <w:rPr>
          <w:rFonts w:ascii="黑体" w:hAnsi="黑体" w:eastAsia="黑体" w:cs="黑体"/>
          <w:color w:val="000000" w:themeColor="text1"/>
          <w:sz w:val="28"/>
          <w:szCs w:val="28"/>
          <w14:textFill>
            <w14:solidFill>
              <w14:schemeClr w14:val="tx1"/>
            </w14:solidFill>
          </w14:textFill>
        </w:rPr>
        <w:fldChar w:fldCharType="begin"/>
      </w:r>
      <w:r>
        <w:rPr>
          <w:rFonts w:ascii="黑体" w:hAnsi="黑体" w:eastAsia="黑体" w:cs="黑体"/>
          <w:color w:val="000000" w:themeColor="text1"/>
          <w:sz w:val="28"/>
          <w:szCs w:val="28"/>
          <w14:textFill>
            <w14:solidFill>
              <w14:schemeClr w14:val="tx1"/>
            </w14:solidFill>
          </w14:textFill>
        </w:rPr>
        <w:instrText xml:space="preserve"> PAGEREF _Toc10459 \h </w:instrText>
      </w:r>
      <w:r>
        <w:rPr>
          <w:rFonts w:ascii="黑体" w:hAnsi="黑体" w:eastAsia="黑体" w:cs="黑体"/>
          <w:color w:val="000000" w:themeColor="text1"/>
          <w:sz w:val="28"/>
          <w:szCs w:val="28"/>
          <w14:textFill>
            <w14:solidFill>
              <w14:schemeClr w14:val="tx1"/>
            </w14:solidFill>
          </w14:textFill>
        </w:rPr>
        <w:fldChar w:fldCharType="separate"/>
      </w:r>
      <w:r>
        <w:rPr>
          <w:rFonts w:ascii="黑体" w:hAnsi="黑体" w:eastAsia="黑体" w:cs="黑体"/>
          <w:color w:val="000000" w:themeColor="text1"/>
          <w:sz w:val="28"/>
          <w:szCs w:val="28"/>
          <w14:textFill>
            <w14:solidFill>
              <w14:schemeClr w14:val="tx1"/>
            </w14:solidFill>
          </w14:textFill>
        </w:rPr>
        <w:t>1</w:t>
      </w:r>
      <w:r>
        <w:rPr>
          <w:rFonts w:ascii="黑体" w:hAnsi="黑体" w:eastAsia="黑体" w:cs="黑体"/>
          <w:color w:val="000000" w:themeColor="text1"/>
          <w:sz w:val="28"/>
          <w:szCs w:val="28"/>
          <w14:textFill>
            <w14:solidFill>
              <w14:schemeClr w14:val="tx1"/>
            </w14:solidFill>
          </w14:textFill>
        </w:rPr>
        <w:fldChar w:fldCharType="end"/>
      </w:r>
      <w:r>
        <w:rPr>
          <w:rFonts w:ascii="黑体" w:hAnsi="黑体" w:eastAsia="黑体" w:cs="黑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黑体" w:hAnsi="黑体" w:eastAsia="黑体" w:cs="黑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"_Toc25850" </w:instrText>
      </w:r>
      <w:r>
        <w:rPr>
          <w:color w:val="000000" w:themeColor="text1"/>
          <w14:textFill>
            <w14:solidFill>
              <w14:schemeClr w14:val="tx1"/>
            </w14:solidFill>
          </w14:textFill>
        </w:rPr>
        <w:fldChar w:fldCharType="separate"/>
      </w:r>
      <w:r>
        <w:rPr>
          <w:rFonts w:hint="eastAsia" w:ascii="黑体" w:hAnsi="黑体" w:eastAsia="黑体" w:cs="黑体"/>
          <w:color w:val="000000" w:themeColor="text1"/>
          <w:sz w:val="28"/>
          <w:szCs w:val="28"/>
          <w14:textFill>
            <w14:solidFill>
              <w14:schemeClr w14:val="tx1"/>
            </w14:solidFill>
          </w14:textFill>
        </w:rPr>
        <w:t>二、不得报考或取消报考（聘用）资格的情形</w:t>
      </w:r>
      <w:r>
        <w:rPr>
          <w:rFonts w:ascii="黑体" w:hAnsi="黑体" w:eastAsia="黑体" w:cs="黑体"/>
          <w:color w:val="000000" w:themeColor="text1"/>
          <w:sz w:val="28"/>
          <w:szCs w:val="28"/>
          <w14:textFill>
            <w14:solidFill>
              <w14:schemeClr w14:val="tx1"/>
            </w14:solidFill>
          </w14:textFill>
        </w:rPr>
        <w:tab/>
      </w:r>
      <w:r>
        <w:rPr>
          <w:rFonts w:ascii="黑体" w:hAnsi="黑体" w:eastAsia="黑体" w:cs="黑体"/>
          <w:color w:val="000000" w:themeColor="text1"/>
          <w:sz w:val="28"/>
          <w:szCs w:val="28"/>
          <w14:textFill>
            <w14:solidFill>
              <w14:schemeClr w14:val="tx1"/>
            </w14:solidFill>
          </w14:textFill>
        </w:rPr>
        <w:fldChar w:fldCharType="begin"/>
      </w:r>
      <w:r>
        <w:rPr>
          <w:rFonts w:ascii="黑体" w:hAnsi="黑体" w:eastAsia="黑体" w:cs="黑体"/>
          <w:color w:val="000000" w:themeColor="text1"/>
          <w:sz w:val="28"/>
          <w:szCs w:val="28"/>
          <w14:textFill>
            <w14:solidFill>
              <w14:schemeClr w14:val="tx1"/>
            </w14:solidFill>
          </w14:textFill>
        </w:rPr>
        <w:instrText xml:space="preserve"> PAGEREF _Toc25850 \h </w:instrText>
      </w:r>
      <w:r>
        <w:rPr>
          <w:rFonts w:ascii="黑体" w:hAnsi="黑体" w:eastAsia="黑体" w:cs="黑体"/>
          <w:color w:val="000000" w:themeColor="text1"/>
          <w:sz w:val="28"/>
          <w:szCs w:val="28"/>
          <w14:textFill>
            <w14:solidFill>
              <w14:schemeClr w14:val="tx1"/>
            </w14:solidFill>
          </w14:textFill>
        </w:rPr>
        <w:fldChar w:fldCharType="separate"/>
      </w:r>
      <w:r>
        <w:rPr>
          <w:rFonts w:ascii="黑体" w:hAnsi="黑体" w:eastAsia="黑体" w:cs="黑体"/>
          <w:color w:val="000000" w:themeColor="text1"/>
          <w:sz w:val="28"/>
          <w:szCs w:val="28"/>
          <w14:textFill>
            <w14:solidFill>
              <w14:schemeClr w14:val="tx1"/>
            </w14:solidFill>
          </w14:textFill>
        </w:rPr>
        <w:t>1</w:t>
      </w:r>
      <w:r>
        <w:rPr>
          <w:rFonts w:ascii="黑体" w:hAnsi="黑体" w:eastAsia="黑体" w:cs="黑体"/>
          <w:color w:val="000000" w:themeColor="text1"/>
          <w:sz w:val="28"/>
          <w:szCs w:val="28"/>
          <w14:textFill>
            <w14:solidFill>
              <w14:schemeClr w14:val="tx1"/>
            </w14:solidFill>
          </w14:textFill>
        </w:rPr>
        <w:fldChar w:fldCharType="end"/>
      </w:r>
      <w:r>
        <w:rPr>
          <w:rFonts w:ascii="黑体" w:hAnsi="黑体" w:eastAsia="黑体" w:cs="黑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黑体" w:hAnsi="黑体" w:eastAsia="黑体" w:cs="黑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"_Toc28345" </w:instrText>
      </w:r>
      <w:r>
        <w:rPr>
          <w:color w:val="000000" w:themeColor="text1"/>
          <w14:textFill>
            <w14:solidFill>
              <w14:schemeClr w14:val="tx1"/>
            </w14:solidFill>
          </w14:textFill>
        </w:rPr>
        <w:fldChar w:fldCharType="separate"/>
      </w:r>
      <w:r>
        <w:rPr>
          <w:rFonts w:hint="eastAsia" w:ascii="黑体" w:hAnsi="黑体" w:eastAsia="黑体" w:cs="黑体"/>
          <w:color w:val="000000" w:themeColor="text1"/>
          <w:sz w:val="28"/>
          <w:szCs w:val="28"/>
          <w14:textFill>
            <w14:solidFill>
              <w14:schemeClr w14:val="tx1"/>
            </w14:solidFill>
          </w14:textFill>
        </w:rPr>
        <w:t>三、选报岗位须知</w:t>
      </w:r>
      <w:r>
        <w:rPr>
          <w:rFonts w:ascii="黑体" w:hAnsi="黑体" w:eastAsia="黑体" w:cs="黑体"/>
          <w:color w:val="000000" w:themeColor="text1"/>
          <w:sz w:val="28"/>
          <w:szCs w:val="28"/>
          <w14:textFill>
            <w14:solidFill>
              <w14:schemeClr w14:val="tx1"/>
            </w14:solidFill>
          </w14:textFill>
        </w:rPr>
        <w:tab/>
      </w:r>
      <w:r>
        <w:rPr>
          <w:rFonts w:ascii="黑体" w:hAnsi="黑体" w:eastAsia="黑体" w:cs="黑体"/>
          <w:color w:val="000000" w:themeColor="text1"/>
          <w:sz w:val="28"/>
          <w:szCs w:val="28"/>
          <w14:textFill>
            <w14:solidFill>
              <w14:schemeClr w14:val="tx1"/>
            </w14:solidFill>
          </w14:textFill>
        </w:rPr>
        <w:fldChar w:fldCharType="begin"/>
      </w:r>
      <w:r>
        <w:rPr>
          <w:rFonts w:ascii="黑体" w:hAnsi="黑体" w:eastAsia="黑体" w:cs="黑体"/>
          <w:color w:val="000000" w:themeColor="text1"/>
          <w:sz w:val="28"/>
          <w:szCs w:val="28"/>
          <w14:textFill>
            <w14:solidFill>
              <w14:schemeClr w14:val="tx1"/>
            </w14:solidFill>
          </w14:textFill>
        </w:rPr>
        <w:instrText xml:space="preserve"> PAGEREF _Toc28345 \h </w:instrText>
      </w:r>
      <w:r>
        <w:rPr>
          <w:rFonts w:ascii="黑体" w:hAnsi="黑体" w:eastAsia="黑体" w:cs="黑体"/>
          <w:color w:val="000000" w:themeColor="text1"/>
          <w:sz w:val="28"/>
          <w:szCs w:val="28"/>
          <w14:textFill>
            <w14:solidFill>
              <w14:schemeClr w14:val="tx1"/>
            </w14:solidFill>
          </w14:textFill>
        </w:rPr>
        <w:fldChar w:fldCharType="separate"/>
      </w:r>
      <w:r>
        <w:rPr>
          <w:rFonts w:ascii="黑体" w:hAnsi="黑体" w:eastAsia="黑体" w:cs="黑体"/>
          <w:color w:val="000000" w:themeColor="text1"/>
          <w:sz w:val="28"/>
          <w:szCs w:val="28"/>
          <w14:textFill>
            <w14:solidFill>
              <w14:schemeClr w14:val="tx1"/>
            </w14:solidFill>
          </w14:textFill>
        </w:rPr>
        <w:t>2</w:t>
      </w:r>
      <w:r>
        <w:rPr>
          <w:rFonts w:ascii="黑体" w:hAnsi="黑体" w:eastAsia="黑体" w:cs="黑体"/>
          <w:color w:val="000000" w:themeColor="text1"/>
          <w:sz w:val="28"/>
          <w:szCs w:val="28"/>
          <w14:textFill>
            <w14:solidFill>
              <w14:schemeClr w14:val="tx1"/>
            </w14:solidFill>
          </w14:textFill>
        </w:rPr>
        <w:fldChar w:fldCharType="end"/>
      </w:r>
      <w:r>
        <w:rPr>
          <w:rFonts w:ascii="黑体" w:hAnsi="黑体" w:eastAsia="黑体" w:cs="黑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楷体" w:hAnsi="楷体" w:eastAsia="楷体" w:cs="楷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"_Toc3161"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（一）照片要求</w:t>
      </w:r>
      <w:r>
        <w:rPr>
          <w:rFonts w:ascii="楷体" w:hAnsi="楷体" w:eastAsia="楷体" w:cs="楷体"/>
          <w:color w:val="000000" w:themeColor="text1"/>
          <w:sz w:val="28"/>
          <w:szCs w:val="28"/>
          <w14:textFill>
            <w14:solidFill>
              <w14:schemeClr w14:val="tx1"/>
            </w14:solidFill>
          </w14:textFill>
        </w:rPr>
        <w:tab/>
      </w:r>
      <w:r>
        <w:rPr>
          <w:rFonts w:ascii="楷体" w:hAnsi="楷体" w:eastAsia="楷体" w:cs="楷体"/>
          <w:color w:val="000000" w:themeColor="text1"/>
          <w:sz w:val="28"/>
          <w:szCs w:val="28"/>
          <w14:textFill>
            <w14:solidFill>
              <w14:schemeClr w14:val="tx1"/>
            </w14:solidFill>
          </w14:textFill>
        </w:rPr>
        <w:fldChar w:fldCharType="begin"/>
      </w:r>
      <w:r>
        <w:rPr>
          <w:rFonts w:ascii="楷体" w:hAnsi="楷体" w:eastAsia="楷体" w:cs="楷体"/>
          <w:color w:val="000000" w:themeColor="text1"/>
          <w:sz w:val="28"/>
          <w:szCs w:val="28"/>
          <w14:textFill>
            <w14:solidFill>
              <w14:schemeClr w14:val="tx1"/>
            </w14:solidFill>
          </w14:textFill>
        </w:rPr>
        <w:instrText xml:space="preserve"> PAGEREF _Toc3161 \h </w:instrText>
      </w:r>
      <w:r>
        <w:rPr>
          <w:rFonts w:ascii="楷体" w:hAnsi="楷体" w:eastAsia="楷体" w:cs="楷体"/>
          <w:color w:val="000000" w:themeColor="text1"/>
          <w:sz w:val="28"/>
          <w:szCs w:val="28"/>
          <w14:textFill>
            <w14:solidFill>
              <w14:schemeClr w14:val="tx1"/>
            </w14:solidFill>
          </w14:textFill>
        </w:rPr>
        <w:fldChar w:fldCharType="separate"/>
      </w:r>
      <w:r>
        <w:rPr>
          <w:rFonts w:ascii="楷体" w:hAnsi="楷体" w:eastAsia="楷体" w:cs="楷体"/>
          <w:color w:val="000000" w:themeColor="text1"/>
          <w:sz w:val="28"/>
          <w:szCs w:val="28"/>
          <w14:textFill>
            <w14:solidFill>
              <w14:schemeClr w14:val="tx1"/>
            </w14:solidFill>
          </w14:textFill>
        </w:rPr>
        <w:t>2</w:t>
      </w:r>
      <w:r>
        <w:rPr>
          <w:rFonts w:ascii="楷体" w:hAnsi="楷体" w:eastAsia="楷体" w:cs="楷体"/>
          <w:color w:val="000000" w:themeColor="text1"/>
          <w:sz w:val="28"/>
          <w:szCs w:val="28"/>
          <w14:textFill>
            <w14:solidFill>
              <w14:schemeClr w14:val="tx1"/>
            </w14:solidFill>
          </w14:textFill>
        </w:rPr>
        <w:fldChar w:fldCharType="end"/>
      </w:r>
      <w:r>
        <w:rPr>
          <w:rFonts w:ascii="楷体" w:hAnsi="楷体" w:eastAsia="楷体" w:cs="楷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楷体" w:hAnsi="楷体" w:eastAsia="楷体" w:cs="楷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"_Toc25424"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（二）回避情形</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3</w:t>
      </w:r>
      <w:r>
        <w:rPr>
          <w:rFonts w:ascii="楷体" w:hAnsi="楷体" w:eastAsia="楷体" w:cs="楷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楷体" w:hAnsi="楷体" w:eastAsia="楷体" w:cs="楷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"_Toc28052"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（三）岗位开考</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4</w:t>
      </w:r>
      <w:r>
        <w:rPr>
          <w:rFonts w:ascii="楷体" w:hAnsi="楷体" w:eastAsia="楷体" w:cs="楷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黑体" w:hAnsi="黑体" w:eastAsia="黑体" w:cs="黑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"_Toc1344" </w:instrText>
      </w:r>
      <w:r>
        <w:rPr>
          <w:color w:val="000000" w:themeColor="text1"/>
          <w14:textFill>
            <w14:solidFill>
              <w14:schemeClr w14:val="tx1"/>
            </w14:solidFill>
          </w14:textFill>
        </w:rPr>
        <w:fldChar w:fldCharType="separate"/>
      </w:r>
      <w:r>
        <w:rPr>
          <w:rFonts w:hint="eastAsia" w:ascii="黑体" w:hAnsi="黑体" w:eastAsia="黑体" w:cs="黑体"/>
          <w:color w:val="000000" w:themeColor="text1"/>
          <w:sz w:val="28"/>
          <w:szCs w:val="28"/>
          <w14:textFill>
            <w14:solidFill>
              <w14:schemeClr w14:val="tx1"/>
            </w14:solidFill>
          </w14:textFill>
        </w:rPr>
        <w:t>四、资格复核</w:t>
      </w:r>
      <w:r>
        <w:rPr>
          <w:rFonts w:ascii="黑体" w:hAnsi="黑体" w:eastAsia="黑体" w:cs="黑体"/>
          <w:color w:val="000000" w:themeColor="text1"/>
          <w:sz w:val="28"/>
          <w:szCs w:val="28"/>
          <w14:textFill>
            <w14:solidFill>
              <w14:schemeClr w14:val="tx1"/>
            </w14:solidFill>
          </w14:textFill>
        </w:rPr>
        <w:tab/>
      </w:r>
      <w:r>
        <w:rPr>
          <w:rFonts w:hint="eastAsia" w:ascii="黑体" w:hAnsi="黑体" w:eastAsia="黑体" w:cs="黑体"/>
          <w:color w:val="000000" w:themeColor="text1"/>
          <w:sz w:val="28"/>
          <w:szCs w:val="28"/>
          <w:lang w:val="en-US" w:eastAsia="zh-CN"/>
          <w14:textFill>
            <w14:solidFill>
              <w14:schemeClr w14:val="tx1"/>
            </w14:solidFill>
          </w14:textFill>
        </w:rPr>
        <w:t>4</w:t>
      </w:r>
      <w:r>
        <w:rPr>
          <w:rFonts w:ascii="黑体" w:hAnsi="黑体" w:eastAsia="黑体" w:cs="黑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黑体" w:hAnsi="黑体" w:eastAsia="黑体" w:cs="黑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"_Toc12038" </w:instrText>
      </w:r>
      <w:r>
        <w:rPr>
          <w:color w:val="000000" w:themeColor="text1"/>
          <w14:textFill>
            <w14:solidFill>
              <w14:schemeClr w14:val="tx1"/>
            </w14:solidFill>
          </w14:textFill>
        </w:rPr>
        <w:fldChar w:fldCharType="separate"/>
      </w:r>
      <w:r>
        <w:rPr>
          <w:rFonts w:hint="eastAsia" w:ascii="黑体" w:hAnsi="黑体" w:eastAsia="黑体" w:cs="黑体"/>
          <w:color w:val="000000" w:themeColor="text1"/>
          <w:sz w:val="28"/>
          <w:szCs w:val="28"/>
          <w14:textFill>
            <w14:solidFill>
              <w14:schemeClr w14:val="tx1"/>
            </w14:solidFill>
          </w14:textFill>
        </w:rPr>
        <w:t>五、年龄、资格（历）等的计算办法</w:t>
      </w:r>
      <w:r>
        <w:rPr>
          <w:rFonts w:ascii="黑体" w:hAnsi="黑体" w:eastAsia="黑体" w:cs="黑体"/>
          <w:color w:val="000000" w:themeColor="text1"/>
          <w:sz w:val="28"/>
          <w:szCs w:val="28"/>
          <w14:textFill>
            <w14:solidFill>
              <w14:schemeClr w14:val="tx1"/>
            </w14:solidFill>
          </w14:textFill>
        </w:rPr>
        <w:tab/>
      </w:r>
      <w:r>
        <w:rPr>
          <w:rFonts w:hint="eastAsia" w:ascii="黑体" w:hAnsi="黑体" w:eastAsia="黑体" w:cs="黑体"/>
          <w:color w:val="000000" w:themeColor="text1"/>
          <w:sz w:val="28"/>
          <w:szCs w:val="28"/>
          <w:lang w:val="en-US" w:eastAsia="zh-CN"/>
          <w14:textFill>
            <w14:solidFill>
              <w14:schemeClr w14:val="tx1"/>
            </w14:solidFill>
          </w14:textFill>
        </w:rPr>
        <w:t>5</w:t>
      </w:r>
      <w:r>
        <w:rPr>
          <w:rFonts w:ascii="黑体" w:hAnsi="黑体" w:eastAsia="黑体" w:cs="黑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u w:val="none"/>
          <w14:textFill>
            <w14:solidFill>
              <w14:schemeClr w14:val="tx1"/>
            </w14:solidFill>
          </w14:textFill>
        </w:rPr>
        <w:fldChar w:fldCharType="begin"/>
      </w:r>
      <w:r>
        <w:rPr>
          <w:rFonts w:hint="eastAsia" w:ascii="黑体" w:hAnsi="黑体" w:eastAsia="黑体" w:cs="黑体"/>
          <w:color w:val="000000" w:themeColor="text1"/>
          <w:sz w:val="28"/>
          <w:szCs w:val="28"/>
          <w:u w:val="none"/>
          <w14:textFill>
            <w14:solidFill>
              <w14:schemeClr w14:val="tx1"/>
            </w14:solidFill>
          </w14:textFill>
        </w:rPr>
        <w:instrText xml:space="preserve"> HYPERLINK \l "_六、学历（位）认定" </w:instrText>
      </w:r>
      <w:r>
        <w:rPr>
          <w:rFonts w:hint="eastAsia" w:ascii="黑体" w:hAnsi="黑体" w:eastAsia="黑体" w:cs="黑体"/>
          <w:color w:val="000000" w:themeColor="text1"/>
          <w:sz w:val="28"/>
          <w:szCs w:val="28"/>
          <w:u w:val="none"/>
          <w14:textFill>
            <w14:solidFill>
              <w14:schemeClr w14:val="tx1"/>
            </w14:solidFill>
          </w14:textFill>
        </w:rPr>
        <w:fldChar w:fldCharType="separate"/>
      </w:r>
      <w:r>
        <w:rPr>
          <w:rStyle w:val="11"/>
          <w:rFonts w:hint="eastAsia" w:ascii="黑体" w:hAnsi="黑体" w:eastAsia="黑体" w:cs="黑体"/>
          <w:color w:val="000000" w:themeColor="text1"/>
          <w:sz w:val="28"/>
          <w:szCs w:val="28"/>
          <w14:textFill>
            <w14:solidFill>
              <w14:schemeClr w14:val="tx1"/>
            </w14:solidFill>
          </w14:textFill>
        </w:rPr>
        <w:t>六、学历（位）认定</w:t>
      </w:r>
      <w:r>
        <w:rPr>
          <w:rStyle w:val="11"/>
          <w:rFonts w:ascii="黑体" w:hAnsi="黑体" w:eastAsia="黑体" w:cs="黑体"/>
          <w:color w:val="000000" w:themeColor="text1"/>
          <w:sz w:val="28"/>
          <w:szCs w:val="28"/>
          <w14:textFill>
            <w14:solidFill>
              <w14:schemeClr w14:val="tx1"/>
            </w14:solidFill>
          </w14:textFill>
        </w:rPr>
        <w:tab/>
      </w:r>
      <w:r>
        <w:rPr>
          <w:rStyle w:val="11"/>
          <w:rFonts w:hint="eastAsia" w:ascii="黑体" w:hAnsi="黑体" w:eastAsia="黑体" w:cs="黑体"/>
          <w:color w:val="000000" w:themeColor="text1"/>
          <w:sz w:val="28"/>
          <w:szCs w:val="28"/>
          <w:lang w:val="en-US" w:eastAsia="zh-CN"/>
          <w14:textFill>
            <w14:solidFill>
              <w14:schemeClr w14:val="tx1"/>
            </w14:solidFill>
          </w14:textFill>
        </w:rPr>
        <w:t>6</w:t>
      </w:r>
      <w:r>
        <w:rPr>
          <w:rFonts w:hint="eastAsia" w:ascii="黑体" w:hAnsi="黑体" w:eastAsia="黑体" w:cs="黑体"/>
          <w:color w:val="000000" w:themeColor="text1"/>
          <w:sz w:val="28"/>
          <w:szCs w:val="28"/>
          <w:u w:val="none"/>
          <w14:textFill>
            <w14:solidFill>
              <w14:schemeClr w14:val="tx1"/>
            </w14:solidFill>
          </w14:textFill>
        </w:rPr>
        <w:fldChar w:fldCharType="end"/>
      </w:r>
    </w:p>
    <w:p>
      <w:pPr>
        <w:pStyle w:val="18"/>
        <w:tabs>
          <w:tab w:val="right" w:leader="dot" w:pos="8306"/>
        </w:tabs>
        <w:spacing w:line="420" w:lineRule="exact"/>
        <w:rPr>
          <w:rFonts w:ascii="楷体" w:hAnsi="楷体" w:eastAsia="楷体" w:cs="楷体"/>
          <w:color w:val="000000" w:themeColor="text1"/>
          <w:sz w:val="28"/>
          <w:szCs w:val="28"/>
          <w14:textFill>
            <w14:solidFill>
              <w14:schemeClr w14:val="tx1"/>
            </w14:solidFill>
          </w14:textFill>
        </w:rPr>
      </w:pPr>
      <w:r>
        <w:rPr>
          <w:rFonts w:hint="eastAsia" w:ascii="楷体" w:hAnsi="楷体" w:eastAsia="楷体" w:cs="楷体"/>
          <w:color w:val="000000" w:themeColor="text1"/>
          <w:sz w:val="28"/>
          <w:szCs w:val="28"/>
          <w:u w:val="none"/>
          <w14:textFill>
            <w14:solidFill>
              <w14:schemeClr w14:val="tx1"/>
            </w14:solidFill>
          </w14:textFill>
        </w:rPr>
        <w:fldChar w:fldCharType="begin"/>
      </w:r>
      <w:r>
        <w:rPr>
          <w:rFonts w:hint="eastAsia" w:ascii="楷体" w:hAnsi="楷体" w:eastAsia="楷体" w:cs="楷体"/>
          <w:color w:val="000000" w:themeColor="text1"/>
          <w:sz w:val="28"/>
          <w:szCs w:val="28"/>
          <w:u w:val="none"/>
          <w14:textFill>
            <w14:solidFill>
              <w14:schemeClr w14:val="tx1"/>
            </w14:solidFill>
          </w14:textFill>
        </w:rPr>
        <w:instrText xml:space="preserve"> HYPERLINK \l "_（一）境内学历（位）" </w:instrText>
      </w:r>
      <w:r>
        <w:rPr>
          <w:rFonts w:hint="eastAsia" w:ascii="楷体" w:hAnsi="楷体" w:eastAsia="楷体" w:cs="楷体"/>
          <w:color w:val="000000" w:themeColor="text1"/>
          <w:sz w:val="28"/>
          <w:szCs w:val="28"/>
          <w:u w:val="none"/>
          <w14:textFill>
            <w14:solidFill>
              <w14:schemeClr w14:val="tx1"/>
            </w14:solidFill>
          </w14:textFill>
        </w:rPr>
        <w:fldChar w:fldCharType="separate"/>
      </w:r>
      <w:r>
        <w:rPr>
          <w:rStyle w:val="11"/>
          <w:rFonts w:hint="eastAsia" w:ascii="楷体" w:hAnsi="楷体" w:eastAsia="楷体" w:cs="楷体"/>
          <w:color w:val="000000" w:themeColor="text1"/>
          <w:sz w:val="28"/>
          <w:szCs w:val="28"/>
          <w14:textFill>
            <w14:solidFill>
              <w14:schemeClr w14:val="tx1"/>
            </w14:solidFill>
          </w14:textFill>
        </w:rPr>
        <w:t>（一）境内学历（位）</w:t>
      </w:r>
      <w:r>
        <w:rPr>
          <w:rStyle w:val="11"/>
          <w:rFonts w:ascii="楷体" w:hAnsi="楷体" w:eastAsia="楷体" w:cs="楷体"/>
          <w:color w:val="000000" w:themeColor="text1"/>
          <w:sz w:val="28"/>
          <w:szCs w:val="28"/>
          <w14:textFill>
            <w14:solidFill>
              <w14:schemeClr w14:val="tx1"/>
            </w14:solidFill>
          </w14:textFill>
        </w:rPr>
        <w:tab/>
      </w:r>
      <w:r>
        <w:rPr>
          <w:rStyle w:val="11"/>
          <w:rFonts w:hint="eastAsia" w:ascii="楷体" w:hAnsi="楷体" w:eastAsia="楷体" w:cs="楷体"/>
          <w:color w:val="000000" w:themeColor="text1"/>
          <w:sz w:val="28"/>
          <w:szCs w:val="28"/>
          <w:lang w:val="en-US" w:eastAsia="zh-CN"/>
          <w14:textFill>
            <w14:solidFill>
              <w14:schemeClr w14:val="tx1"/>
            </w14:solidFill>
          </w14:textFill>
        </w:rPr>
        <w:t>6</w:t>
      </w:r>
      <w:r>
        <w:rPr>
          <w:rFonts w:hint="eastAsia" w:ascii="楷体" w:hAnsi="楷体" w:eastAsia="楷体" w:cs="楷体"/>
          <w:color w:val="000000" w:themeColor="text1"/>
          <w:sz w:val="28"/>
          <w:szCs w:val="28"/>
          <w:u w:val="none"/>
          <w14:textFill>
            <w14:solidFill>
              <w14:schemeClr w14:val="tx1"/>
            </w14:solidFill>
          </w14:textFill>
        </w:rPr>
        <w:fldChar w:fldCharType="end"/>
      </w:r>
    </w:p>
    <w:p>
      <w:pPr>
        <w:pStyle w:val="18"/>
        <w:tabs>
          <w:tab w:val="right" w:leader="dot" w:pos="8306"/>
        </w:tabs>
        <w:spacing w:line="420" w:lineRule="exact"/>
        <w:rPr>
          <w:rFonts w:ascii="楷体" w:hAnsi="楷体" w:eastAsia="楷体" w:cs="楷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"_Toc2494"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（二）境外学历（位）</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7</w:t>
      </w:r>
      <w:r>
        <w:rPr>
          <w:rFonts w:ascii="楷体" w:hAnsi="楷体" w:eastAsia="楷体" w:cs="楷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楷体" w:hAnsi="楷体" w:eastAsia="楷体" w:cs="楷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"_Toc23613"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（三）福建省“双学位”“双专业”教育</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7</w:t>
      </w:r>
      <w:r>
        <w:rPr>
          <w:rFonts w:ascii="楷体" w:hAnsi="楷体" w:eastAsia="楷体" w:cs="楷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黑体" w:hAnsi="黑体" w:eastAsia="黑体" w:cs="黑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"_Toc8728"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（四）提醒事项</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7</w:t>
      </w:r>
      <w:r>
        <w:rPr>
          <w:rFonts w:ascii="楷体" w:hAnsi="楷体" w:eastAsia="楷体" w:cs="楷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黑体" w:hAnsi="黑体" w:eastAsia="黑体" w:cs="黑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"_Toc12784" </w:instrText>
      </w:r>
      <w:r>
        <w:rPr>
          <w:color w:val="000000" w:themeColor="text1"/>
          <w14:textFill>
            <w14:solidFill>
              <w14:schemeClr w14:val="tx1"/>
            </w14:solidFill>
          </w14:textFill>
        </w:rPr>
        <w:fldChar w:fldCharType="separate"/>
      </w:r>
      <w:r>
        <w:rPr>
          <w:rFonts w:hint="eastAsia" w:ascii="黑体" w:hAnsi="黑体" w:eastAsia="黑体" w:cs="黑体"/>
          <w:color w:val="000000" w:themeColor="text1"/>
          <w:sz w:val="28"/>
          <w:szCs w:val="28"/>
          <w14:textFill>
            <w14:solidFill>
              <w14:schemeClr w14:val="tx1"/>
            </w14:solidFill>
          </w14:textFill>
        </w:rPr>
        <w:t>七、专业认定</w:t>
      </w:r>
      <w:r>
        <w:rPr>
          <w:rFonts w:ascii="黑体" w:hAnsi="黑体" w:eastAsia="黑体" w:cs="黑体"/>
          <w:color w:val="000000" w:themeColor="text1"/>
          <w:sz w:val="28"/>
          <w:szCs w:val="28"/>
          <w14:textFill>
            <w14:solidFill>
              <w14:schemeClr w14:val="tx1"/>
            </w14:solidFill>
          </w14:textFill>
        </w:rPr>
        <w:tab/>
      </w:r>
      <w:r>
        <w:rPr>
          <w:rFonts w:hint="eastAsia" w:ascii="黑体" w:hAnsi="黑体" w:eastAsia="黑体" w:cs="黑体"/>
          <w:color w:val="000000" w:themeColor="text1"/>
          <w:sz w:val="28"/>
          <w:szCs w:val="28"/>
          <w:lang w:val="en-US" w:eastAsia="zh-CN"/>
          <w14:textFill>
            <w14:solidFill>
              <w14:schemeClr w14:val="tx1"/>
            </w14:solidFill>
          </w14:textFill>
        </w:rPr>
        <w:t>8</w:t>
      </w:r>
      <w:r>
        <w:rPr>
          <w:rFonts w:ascii="黑体" w:hAnsi="黑体" w:eastAsia="黑体" w:cs="黑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楷体" w:hAnsi="楷体" w:eastAsia="楷体" w:cs="楷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"_Toc20957"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（一）填报专业名称</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8</w:t>
      </w:r>
      <w:r>
        <w:rPr>
          <w:rFonts w:ascii="楷体" w:hAnsi="楷体" w:eastAsia="楷体" w:cs="楷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楷体" w:hAnsi="楷体" w:eastAsia="楷体" w:cs="楷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"_Toc26794"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（二）专业与学历（位）的对应关系</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8</w:t>
      </w:r>
      <w:r>
        <w:rPr>
          <w:rFonts w:ascii="楷体" w:hAnsi="楷体" w:eastAsia="楷体" w:cs="楷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ascii="黑体" w:hAnsi="黑体" w:eastAsia="黑体" w:cs="黑体"/>
          <w:color w:val="000000" w:themeColor="text1"/>
          <w:sz w:val="28"/>
          <w:szCs w:val="28"/>
          <w14:textFill>
            <w14:solidFill>
              <w14:schemeClr w14:val="tx1"/>
            </w14:solidFill>
          </w14:textFill>
        </w:rPr>
      </w:pPr>
      <w:r>
        <w:rPr>
          <w:rFonts w:hint="eastAsia" w:ascii="楷体" w:hAnsi="楷体" w:eastAsia="楷体" w:cs="楷体"/>
          <w:color w:val="000000" w:themeColor="text1"/>
          <w:sz w:val="28"/>
          <w:szCs w:val="28"/>
          <w:u w:val="none"/>
          <w14:textFill>
            <w14:solidFill>
              <w14:schemeClr w14:val="tx1"/>
            </w14:solidFill>
          </w14:textFill>
        </w:rPr>
        <w:fldChar w:fldCharType="begin"/>
      </w:r>
      <w:r>
        <w:rPr>
          <w:rFonts w:hint="eastAsia" w:ascii="楷体" w:hAnsi="楷体" w:eastAsia="楷体" w:cs="楷体"/>
          <w:color w:val="000000" w:themeColor="text1"/>
          <w:sz w:val="28"/>
          <w:szCs w:val="28"/>
          <w:u w:val="none"/>
          <w14:textFill>
            <w14:solidFill>
              <w14:schemeClr w14:val="tx1"/>
            </w14:solidFill>
          </w14:textFill>
        </w:rPr>
        <w:instrText xml:space="preserve"> HYPERLINK \l "_（三）专业资格的认定" </w:instrText>
      </w:r>
      <w:r>
        <w:rPr>
          <w:rFonts w:hint="eastAsia" w:ascii="楷体" w:hAnsi="楷体" w:eastAsia="楷体" w:cs="楷体"/>
          <w:color w:val="000000" w:themeColor="text1"/>
          <w:sz w:val="28"/>
          <w:szCs w:val="28"/>
          <w:u w:val="none"/>
          <w14:textFill>
            <w14:solidFill>
              <w14:schemeClr w14:val="tx1"/>
            </w14:solidFill>
          </w14:textFill>
        </w:rPr>
        <w:fldChar w:fldCharType="separate"/>
      </w:r>
      <w:r>
        <w:rPr>
          <w:rStyle w:val="11"/>
          <w:rFonts w:hint="eastAsia" w:ascii="楷体" w:hAnsi="楷体" w:eastAsia="楷体" w:cs="楷体"/>
          <w:color w:val="000000" w:themeColor="text1"/>
          <w:sz w:val="28"/>
          <w:szCs w:val="28"/>
          <w14:textFill>
            <w14:solidFill>
              <w14:schemeClr w14:val="tx1"/>
            </w14:solidFill>
          </w14:textFill>
        </w:rPr>
        <w:t>（三）专业资格的认定</w:t>
      </w:r>
      <w:r>
        <w:rPr>
          <w:rStyle w:val="11"/>
          <w:rFonts w:ascii="楷体" w:hAnsi="楷体" w:eastAsia="楷体" w:cs="楷体"/>
          <w:color w:val="000000" w:themeColor="text1"/>
          <w:sz w:val="28"/>
          <w:szCs w:val="28"/>
          <w14:textFill>
            <w14:solidFill>
              <w14:schemeClr w14:val="tx1"/>
            </w14:solidFill>
          </w14:textFill>
        </w:rPr>
        <w:tab/>
      </w:r>
      <w:r>
        <w:rPr>
          <w:rStyle w:val="11"/>
          <w:rFonts w:hint="eastAsia" w:ascii="楷体" w:hAnsi="楷体" w:eastAsia="楷体" w:cs="楷体"/>
          <w:color w:val="000000" w:themeColor="text1"/>
          <w:sz w:val="28"/>
          <w:szCs w:val="28"/>
          <w:lang w:val="en-US" w:eastAsia="zh-CN"/>
          <w14:textFill>
            <w14:solidFill>
              <w14:schemeClr w14:val="tx1"/>
            </w14:solidFill>
          </w14:textFill>
        </w:rPr>
        <w:t>9</w:t>
      </w:r>
      <w:r>
        <w:rPr>
          <w:rFonts w:hint="eastAsia" w:ascii="楷体" w:hAnsi="楷体" w:eastAsia="楷体" w:cs="楷体"/>
          <w:color w:val="000000" w:themeColor="text1"/>
          <w:sz w:val="28"/>
          <w:szCs w:val="28"/>
          <w:u w:val="none"/>
          <w14:textFill>
            <w14:solidFill>
              <w14:schemeClr w14:val="tx1"/>
            </w14:solidFill>
          </w14:textFill>
        </w:rPr>
        <w:fldChar w:fldCharType="end"/>
      </w:r>
    </w:p>
    <w:p>
      <w:pPr>
        <w:pStyle w:val="18"/>
        <w:tabs>
          <w:tab w:val="right" w:leader="dot" w:pos="8306"/>
        </w:tabs>
        <w:spacing w:line="420" w:lineRule="exact"/>
        <w:rPr>
          <w:rFonts w:ascii="黑体" w:hAnsi="黑体" w:eastAsia="黑体" w:cs="黑体"/>
          <w:color w:val="000000" w:themeColor="text1"/>
          <w:sz w:val="28"/>
          <w:szCs w:val="28"/>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"_Toc6797" </w:instrText>
      </w:r>
      <w:r>
        <w:rPr>
          <w:color w:val="000000" w:themeColor="text1"/>
          <w14:textFill>
            <w14:solidFill>
              <w14:schemeClr w14:val="tx1"/>
            </w14:solidFill>
          </w14:textFill>
        </w:rPr>
        <w:fldChar w:fldCharType="separate"/>
      </w:r>
      <w:r>
        <w:rPr>
          <w:rFonts w:hint="eastAsia" w:ascii="黑体" w:hAnsi="黑体" w:eastAsia="黑体" w:cs="黑体"/>
          <w:color w:val="000000" w:themeColor="text1"/>
          <w:sz w:val="28"/>
          <w:szCs w:val="28"/>
          <w14:textFill>
            <w14:solidFill>
              <w14:schemeClr w14:val="tx1"/>
            </w14:solidFill>
          </w14:textFill>
        </w:rPr>
        <w:t>八、工作经验认定</w:t>
      </w:r>
      <w:r>
        <w:rPr>
          <w:rFonts w:ascii="黑体" w:hAnsi="黑体" w:eastAsia="黑体" w:cs="黑体"/>
          <w:color w:val="000000" w:themeColor="text1"/>
          <w:sz w:val="28"/>
          <w:szCs w:val="28"/>
          <w14:textFill>
            <w14:solidFill>
              <w14:schemeClr w14:val="tx1"/>
            </w14:solidFill>
          </w14:textFill>
        </w:rPr>
        <w:tab/>
      </w:r>
      <w:r>
        <w:rPr>
          <w:rFonts w:hint="eastAsia" w:ascii="黑体" w:hAnsi="黑体" w:eastAsia="黑体" w:cs="黑体"/>
          <w:color w:val="000000" w:themeColor="text1"/>
          <w:sz w:val="28"/>
          <w:szCs w:val="28"/>
          <w:lang w:val="en-US" w:eastAsia="zh-CN"/>
          <w14:textFill>
            <w14:solidFill>
              <w14:schemeClr w14:val="tx1"/>
            </w14:solidFill>
          </w14:textFill>
        </w:rPr>
        <w:t>9</w:t>
      </w:r>
      <w:r>
        <w:rPr>
          <w:rFonts w:ascii="黑体" w:hAnsi="黑体" w:eastAsia="黑体" w:cs="黑体"/>
          <w:color w:val="000000" w:themeColor="text1"/>
          <w:sz w:val="28"/>
          <w:szCs w:val="28"/>
          <w14:textFill>
            <w14:solidFill>
              <w14:schemeClr w14:val="tx1"/>
            </w14:solidFill>
          </w14:textFill>
        </w:rPr>
        <w:fldChar w:fldCharType="end"/>
      </w:r>
    </w:p>
    <w:p>
      <w:pPr>
        <w:pStyle w:val="18"/>
        <w:tabs>
          <w:tab w:val="right" w:leader="dot" w:pos="8306"/>
        </w:tabs>
        <w:spacing w:line="420" w:lineRule="exact"/>
        <w:rPr>
          <w:rFonts w:hint="eastAsia" w:ascii="黑体" w:hAnsi="黑体" w:eastAsia="黑体" w:cs="黑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"_Toc20146" </w:instrText>
      </w:r>
      <w:r>
        <w:rPr>
          <w:color w:val="000000" w:themeColor="text1"/>
          <w14:textFill>
            <w14:solidFill>
              <w14:schemeClr w14:val="tx1"/>
            </w14:solidFill>
          </w14:textFill>
        </w:rPr>
        <w:fldChar w:fldCharType="separate"/>
      </w:r>
      <w:r>
        <w:rPr>
          <w:rFonts w:hint="eastAsia" w:ascii="黑体" w:hAnsi="黑体" w:eastAsia="黑体" w:cs="黑体"/>
          <w:color w:val="000000" w:themeColor="text1"/>
          <w:sz w:val="28"/>
          <w:szCs w:val="28"/>
          <w14:textFill>
            <w14:solidFill>
              <w14:schemeClr w14:val="tx1"/>
            </w14:solidFill>
          </w14:textFill>
        </w:rPr>
        <w:t>九、笔试加分</w:t>
      </w:r>
      <w:r>
        <w:rPr>
          <w:rFonts w:ascii="黑体" w:hAnsi="黑体" w:eastAsia="黑体" w:cs="黑体"/>
          <w:color w:val="000000" w:themeColor="text1"/>
          <w:sz w:val="28"/>
          <w:szCs w:val="28"/>
          <w14:textFill>
            <w14:solidFill>
              <w14:schemeClr w14:val="tx1"/>
            </w14:solidFill>
          </w14:textFill>
        </w:rPr>
        <w:tab/>
      </w:r>
      <w:r>
        <w:rPr>
          <w:rFonts w:hint="eastAsia" w:ascii="黑体" w:hAnsi="黑体" w:eastAsia="黑体" w:cs="黑体"/>
          <w:color w:val="000000" w:themeColor="text1"/>
          <w:sz w:val="28"/>
          <w:szCs w:val="28"/>
          <w:lang w:val="en-US" w:eastAsia="zh-CN"/>
          <w14:textFill>
            <w14:solidFill>
              <w14:schemeClr w14:val="tx1"/>
            </w14:solidFill>
          </w14:textFill>
        </w:rPr>
        <w:t>1</w:t>
      </w:r>
      <w:r>
        <w:rPr>
          <w:rFonts w:ascii="黑体" w:hAnsi="黑体" w:eastAsia="黑体" w:cs="黑体"/>
          <w:color w:val="000000" w:themeColor="text1"/>
          <w:sz w:val="28"/>
          <w:szCs w:val="28"/>
          <w14:textFill>
            <w14:solidFill>
              <w14:schemeClr w14:val="tx1"/>
            </w14:solidFill>
          </w14:textFill>
        </w:rPr>
        <w:fldChar w:fldCharType="end"/>
      </w:r>
      <w:r>
        <w:rPr>
          <w:rFonts w:hint="eastAsia" w:ascii="黑体" w:hAnsi="黑体" w:eastAsia="黑体" w:cs="黑体"/>
          <w:color w:val="000000" w:themeColor="text1"/>
          <w:sz w:val="28"/>
          <w:szCs w:val="28"/>
          <w:lang w:val="en-US" w:eastAsia="zh-CN"/>
          <w14:textFill>
            <w14:solidFill>
              <w14:schemeClr w14:val="tx1"/>
            </w14:solidFill>
          </w14:textFill>
        </w:rPr>
        <w:t>0</w:t>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rFonts w:hint="eastAsia" w:ascii="楷体" w:hAnsi="楷体" w:eastAsia="楷体" w:cs="楷体"/>
          <w:color w:val="000000" w:themeColor="text1"/>
          <w:sz w:val="28"/>
          <w:szCs w:val="28"/>
          <w:u w:val="none"/>
          <w14:textFill>
            <w14:solidFill>
              <w14:schemeClr w14:val="tx1"/>
            </w14:solidFill>
          </w14:textFill>
        </w:rPr>
        <w:fldChar w:fldCharType="begin"/>
      </w:r>
      <w:r>
        <w:rPr>
          <w:rFonts w:hint="eastAsia" w:ascii="楷体" w:hAnsi="楷体" w:eastAsia="楷体" w:cs="楷体"/>
          <w:color w:val="000000" w:themeColor="text1"/>
          <w:sz w:val="28"/>
          <w:szCs w:val="28"/>
          <w:u w:val="none"/>
          <w14:textFill>
            <w14:solidFill>
              <w14:schemeClr w14:val="tx1"/>
            </w14:solidFill>
          </w14:textFill>
        </w:rPr>
        <w:instrText xml:space="preserve"> HYPERLINK \l "_（一）加分原则" </w:instrText>
      </w:r>
      <w:r>
        <w:rPr>
          <w:rFonts w:hint="eastAsia" w:ascii="楷体" w:hAnsi="楷体" w:eastAsia="楷体" w:cs="楷体"/>
          <w:color w:val="000000" w:themeColor="text1"/>
          <w:sz w:val="28"/>
          <w:szCs w:val="28"/>
          <w:u w:val="none"/>
          <w14:textFill>
            <w14:solidFill>
              <w14:schemeClr w14:val="tx1"/>
            </w14:solidFill>
          </w14:textFill>
        </w:rPr>
        <w:fldChar w:fldCharType="separate"/>
      </w:r>
      <w:r>
        <w:rPr>
          <w:rStyle w:val="11"/>
          <w:rFonts w:hint="eastAsia" w:ascii="楷体" w:hAnsi="楷体" w:eastAsia="楷体" w:cs="楷体"/>
          <w:color w:val="000000" w:themeColor="text1"/>
          <w:sz w:val="28"/>
          <w:szCs w:val="28"/>
          <w14:textFill>
            <w14:solidFill>
              <w14:schemeClr w14:val="tx1"/>
            </w14:solidFill>
          </w14:textFill>
        </w:rPr>
        <w:t>（一）加分原则</w:t>
      </w:r>
      <w:r>
        <w:rPr>
          <w:rStyle w:val="11"/>
          <w:rFonts w:ascii="楷体" w:hAnsi="楷体" w:eastAsia="楷体" w:cs="楷体"/>
          <w:color w:val="000000" w:themeColor="text1"/>
          <w:sz w:val="28"/>
          <w:szCs w:val="28"/>
          <w14:textFill>
            <w14:solidFill>
              <w14:schemeClr w14:val="tx1"/>
            </w14:solidFill>
          </w14:textFill>
        </w:rPr>
        <w:tab/>
      </w:r>
      <w:r>
        <w:rPr>
          <w:rStyle w:val="11"/>
          <w:rFonts w:hint="eastAsia" w:ascii="楷体" w:hAnsi="楷体" w:eastAsia="楷体" w:cs="楷体"/>
          <w:color w:val="000000" w:themeColor="text1"/>
          <w:sz w:val="28"/>
          <w:szCs w:val="28"/>
          <w:lang w:val="en-US" w:eastAsia="zh-CN"/>
          <w14:textFill>
            <w14:solidFill>
              <w14:schemeClr w14:val="tx1"/>
            </w14:solidFill>
          </w14:textFill>
        </w:rPr>
        <w:t>10</w:t>
      </w:r>
      <w:r>
        <w:rPr>
          <w:rFonts w:hint="eastAsia" w:ascii="楷体" w:hAnsi="楷体" w:eastAsia="楷体" w:cs="楷体"/>
          <w:color w:val="000000" w:themeColor="text1"/>
          <w:sz w:val="28"/>
          <w:szCs w:val="28"/>
          <w:u w:val="none"/>
          <w14:textFill>
            <w14:solidFill>
              <w14:schemeClr w14:val="tx1"/>
            </w14:solidFill>
          </w14:textFill>
        </w:rPr>
        <w:fldChar w:fldCharType="end"/>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rFonts w:hint="eastAsia" w:ascii="楷体" w:hAnsi="楷体" w:eastAsia="楷体" w:cs="楷体"/>
          <w:color w:val="000000" w:themeColor="text1"/>
          <w:sz w:val="28"/>
          <w:szCs w:val="28"/>
          <w:u w:val="none"/>
          <w14:textFill>
            <w14:solidFill>
              <w14:schemeClr w14:val="tx1"/>
            </w14:solidFill>
          </w14:textFill>
        </w:rPr>
        <w:fldChar w:fldCharType="begin"/>
      </w:r>
      <w:r>
        <w:rPr>
          <w:rFonts w:hint="eastAsia" w:ascii="楷体" w:hAnsi="楷体" w:eastAsia="楷体" w:cs="楷体"/>
          <w:color w:val="000000" w:themeColor="text1"/>
          <w:sz w:val="28"/>
          <w:szCs w:val="28"/>
          <w:u w:val="none"/>
          <w14:textFill>
            <w14:solidFill>
              <w14:schemeClr w14:val="tx1"/>
            </w14:solidFill>
          </w14:textFill>
        </w:rPr>
        <w:instrText xml:space="preserve"> HYPERLINK \l "_（二）加分政策" </w:instrText>
      </w:r>
      <w:r>
        <w:rPr>
          <w:rFonts w:hint="eastAsia" w:ascii="楷体" w:hAnsi="楷体" w:eastAsia="楷体" w:cs="楷体"/>
          <w:color w:val="000000" w:themeColor="text1"/>
          <w:sz w:val="28"/>
          <w:szCs w:val="28"/>
          <w:u w:val="none"/>
          <w14:textFill>
            <w14:solidFill>
              <w14:schemeClr w14:val="tx1"/>
            </w14:solidFill>
          </w14:textFill>
        </w:rPr>
        <w:fldChar w:fldCharType="separate"/>
      </w:r>
      <w:r>
        <w:rPr>
          <w:rStyle w:val="11"/>
          <w:rFonts w:hint="eastAsia" w:ascii="楷体" w:hAnsi="楷体" w:eastAsia="楷体" w:cs="楷体"/>
          <w:color w:val="000000" w:themeColor="text1"/>
          <w:sz w:val="28"/>
          <w:szCs w:val="28"/>
          <w14:textFill>
            <w14:solidFill>
              <w14:schemeClr w14:val="tx1"/>
            </w14:solidFill>
          </w14:textFill>
        </w:rPr>
        <w:t>（二）加分政策</w:t>
      </w:r>
      <w:r>
        <w:rPr>
          <w:rStyle w:val="11"/>
          <w:rFonts w:hint="eastAsia" w:ascii="楷体" w:hAnsi="楷体" w:eastAsia="楷体" w:cs="楷体"/>
          <w:color w:val="000000" w:themeColor="text1"/>
          <w:sz w:val="28"/>
          <w:szCs w:val="28"/>
          <w14:textFill>
            <w14:solidFill>
              <w14:schemeClr w14:val="tx1"/>
            </w14:solidFill>
          </w14:textFill>
        </w:rPr>
        <w:tab/>
      </w:r>
      <w:r>
        <w:rPr>
          <w:rStyle w:val="11"/>
          <w:rFonts w:hint="eastAsia" w:ascii="楷体" w:hAnsi="楷体" w:eastAsia="楷体" w:cs="楷体"/>
          <w:color w:val="000000" w:themeColor="text1"/>
          <w:sz w:val="28"/>
          <w:szCs w:val="28"/>
          <w:lang w:val="en-US" w:eastAsia="zh-CN"/>
          <w14:textFill>
            <w14:solidFill>
              <w14:schemeClr w14:val="tx1"/>
            </w14:solidFill>
          </w14:textFill>
        </w:rPr>
        <w:t>1</w:t>
      </w:r>
      <w:r>
        <w:rPr>
          <w:rFonts w:hint="eastAsia" w:ascii="楷体" w:hAnsi="楷体" w:eastAsia="楷体" w:cs="楷体"/>
          <w:color w:val="000000" w:themeColor="text1"/>
          <w:sz w:val="28"/>
          <w:szCs w:val="28"/>
          <w:u w:val="none"/>
          <w14:textFill>
            <w14:solidFill>
              <w14:schemeClr w14:val="tx1"/>
            </w14:solidFill>
          </w14:textFill>
        </w:rPr>
        <w:fldChar w:fldCharType="end"/>
      </w:r>
      <w:r>
        <w:rPr>
          <w:rFonts w:hint="eastAsia" w:ascii="楷体" w:hAnsi="楷体" w:eastAsia="楷体" w:cs="楷体"/>
          <w:color w:val="000000" w:themeColor="text1"/>
          <w:sz w:val="28"/>
          <w:szCs w:val="28"/>
          <w:u w:val="none"/>
          <w:lang w:val="en-US" w:eastAsia="zh-CN"/>
          <w14:textFill>
            <w14:solidFill>
              <w14:schemeClr w14:val="tx1"/>
            </w14:solidFill>
          </w14:textFill>
        </w:rPr>
        <w:t>0</w:t>
      </w:r>
    </w:p>
    <w:p>
      <w:pPr>
        <w:pStyle w:val="18"/>
        <w:tabs>
          <w:tab w:val="right" w:leader="dot" w:pos="8306"/>
        </w:tabs>
        <w:spacing w:line="420" w:lineRule="exact"/>
        <w:rPr>
          <w:rFonts w:ascii="楷体" w:hAnsi="楷体" w:eastAsia="楷体" w:cs="楷体"/>
          <w:color w:val="000000" w:themeColor="text1"/>
          <w:sz w:val="28"/>
          <w:szCs w:val="28"/>
          <w14:textFill>
            <w14:solidFill>
              <w14:schemeClr w14:val="tx1"/>
            </w14:solidFill>
          </w14:textFill>
        </w:rPr>
      </w:pPr>
      <w:r>
        <w:rPr>
          <w:rFonts w:hint="eastAsia" w:ascii="楷体" w:hAnsi="楷体" w:eastAsia="楷体" w:cs="楷体"/>
          <w:color w:val="000000" w:themeColor="text1"/>
          <w:sz w:val="28"/>
          <w:szCs w:val="28"/>
          <w:u w:val="none"/>
          <w14:textFill>
            <w14:solidFill>
              <w14:schemeClr w14:val="tx1"/>
            </w14:solidFill>
          </w14:textFill>
        </w:rPr>
        <w:fldChar w:fldCharType="begin"/>
      </w:r>
      <w:r>
        <w:rPr>
          <w:rFonts w:hint="eastAsia" w:ascii="楷体" w:hAnsi="楷体" w:eastAsia="楷体" w:cs="楷体"/>
          <w:color w:val="000000" w:themeColor="text1"/>
          <w:sz w:val="28"/>
          <w:szCs w:val="28"/>
          <w:u w:val="none"/>
          <w14:textFill>
            <w14:solidFill>
              <w14:schemeClr w14:val="tx1"/>
            </w14:solidFill>
          </w14:textFill>
        </w:rPr>
        <w:instrText xml:space="preserve"> HYPERLINK \l "_（三）加分证明" </w:instrText>
      </w:r>
      <w:r>
        <w:rPr>
          <w:rFonts w:hint="eastAsia" w:ascii="楷体" w:hAnsi="楷体" w:eastAsia="楷体" w:cs="楷体"/>
          <w:color w:val="000000" w:themeColor="text1"/>
          <w:sz w:val="28"/>
          <w:szCs w:val="28"/>
          <w:u w:val="none"/>
          <w14:textFill>
            <w14:solidFill>
              <w14:schemeClr w14:val="tx1"/>
            </w14:solidFill>
          </w14:textFill>
        </w:rPr>
        <w:fldChar w:fldCharType="separate"/>
      </w:r>
      <w:r>
        <w:rPr>
          <w:rStyle w:val="11"/>
          <w:rFonts w:hint="eastAsia" w:ascii="楷体" w:hAnsi="楷体" w:eastAsia="楷体" w:cs="楷体"/>
          <w:color w:val="000000" w:themeColor="text1"/>
          <w:sz w:val="28"/>
          <w:szCs w:val="28"/>
          <w14:textFill>
            <w14:solidFill>
              <w14:schemeClr w14:val="tx1"/>
            </w14:solidFill>
          </w14:textFill>
        </w:rPr>
        <w:t>（三）加分证明</w:t>
      </w:r>
      <w:r>
        <w:rPr>
          <w:rStyle w:val="11"/>
          <w:rFonts w:ascii="楷体" w:hAnsi="楷体" w:eastAsia="楷体" w:cs="楷体"/>
          <w:color w:val="000000" w:themeColor="text1"/>
          <w:sz w:val="28"/>
          <w:szCs w:val="28"/>
          <w14:textFill>
            <w14:solidFill>
              <w14:schemeClr w14:val="tx1"/>
            </w14:solidFill>
          </w14:textFill>
        </w:rPr>
        <w:tab/>
      </w:r>
      <w:r>
        <w:rPr>
          <w:rStyle w:val="11"/>
          <w:rFonts w:ascii="楷体" w:hAnsi="楷体" w:eastAsia="楷体" w:cs="楷体"/>
          <w:color w:val="000000" w:themeColor="text1"/>
          <w:sz w:val="28"/>
          <w:szCs w:val="28"/>
          <w14:textFill>
            <w14:solidFill>
              <w14:schemeClr w14:val="tx1"/>
            </w14:solidFill>
          </w14:textFill>
        </w:rPr>
        <w:fldChar w:fldCharType="begin"/>
      </w:r>
      <w:r>
        <w:rPr>
          <w:rStyle w:val="11"/>
          <w:rFonts w:ascii="楷体" w:hAnsi="楷体" w:eastAsia="楷体" w:cs="楷体"/>
          <w:color w:val="000000" w:themeColor="text1"/>
          <w:sz w:val="28"/>
          <w:szCs w:val="28"/>
          <w14:textFill>
            <w14:solidFill>
              <w14:schemeClr w14:val="tx1"/>
            </w14:solidFill>
          </w14:textFill>
        </w:rPr>
        <w:instrText xml:space="preserve"> PAGEREF _Toc8388 \h </w:instrText>
      </w:r>
      <w:r>
        <w:rPr>
          <w:rStyle w:val="11"/>
          <w:rFonts w:ascii="楷体" w:hAnsi="楷体" w:eastAsia="楷体" w:cs="楷体"/>
          <w:color w:val="000000" w:themeColor="text1"/>
          <w:sz w:val="28"/>
          <w:szCs w:val="28"/>
          <w14:textFill>
            <w14:solidFill>
              <w14:schemeClr w14:val="tx1"/>
            </w14:solidFill>
          </w14:textFill>
        </w:rPr>
        <w:fldChar w:fldCharType="separate"/>
      </w:r>
      <w:r>
        <w:rPr>
          <w:rStyle w:val="11"/>
          <w:rFonts w:ascii="楷体" w:hAnsi="楷体" w:eastAsia="楷体" w:cs="楷体"/>
          <w:color w:val="000000" w:themeColor="text1"/>
          <w:sz w:val="28"/>
          <w:szCs w:val="28"/>
          <w14:textFill>
            <w14:solidFill>
              <w14:schemeClr w14:val="tx1"/>
            </w14:solidFill>
          </w14:textFill>
        </w:rPr>
        <w:t>12</w:t>
      </w:r>
      <w:r>
        <w:rPr>
          <w:rStyle w:val="11"/>
          <w:rFonts w:ascii="楷体" w:hAnsi="楷体" w:eastAsia="楷体" w:cs="楷体"/>
          <w:color w:val="000000" w:themeColor="text1"/>
          <w:sz w:val="28"/>
          <w:szCs w:val="28"/>
          <w14:textFill>
            <w14:solidFill>
              <w14:schemeClr w14:val="tx1"/>
            </w14:solidFill>
          </w14:textFill>
        </w:rPr>
        <w:fldChar w:fldCharType="end"/>
      </w:r>
      <w:r>
        <w:rPr>
          <w:rFonts w:hint="eastAsia" w:ascii="楷体" w:hAnsi="楷体" w:eastAsia="楷体" w:cs="楷体"/>
          <w:color w:val="000000" w:themeColor="text1"/>
          <w:sz w:val="28"/>
          <w:szCs w:val="28"/>
          <w:u w:val="none"/>
          <w14:textFill>
            <w14:solidFill>
              <w14:schemeClr w14:val="tx1"/>
            </w14:solidFill>
          </w14:textFill>
        </w:rPr>
        <w:fldChar w:fldCharType="end"/>
      </w:r>
    </w:p>
    <w:p>
      <w:pPr>
        <w:pStyle w:val="18"/>
        <w:tabs>
          <w:tab w:val="right" w:leader="dot" w:pos="8306"/>
        </w:tabs>
        <w:spacing w:line="420" w:lineRule="exact"/>
        <w:rPr>
          <w:rFonts w:hint="eastAsia" w:ascii="黑体" w:hAnsi="黑体" w:eastAsia="黑体" w:cs="黑体"/>
          <w:color w:val="000000" w:themeColor="text1"/>
          <w:sz w:val="28"/>
          <w:szCs w:val="28"/>
          <w:lang w:val="en-US" w:eastAsia="zh-CN"/>
          <w14:textFill>
            <w14:solidFill>
              <w14:schemeClr w14:val="tx1"/>
            </w14:solidFill>
          </w14:textFill>
        </w:rPr>
      </w:pPr>
      <w:r>
        <w:rPr>
          <w:rFonts w:hint="eastAsia" w:ascii="黑体" w:hAnsi="黑体" w:eastAsia="黑体" w:cs="黑体"/>
          <w:color w:val="000000" w:themeColor="text1"/>
          <w:sz w:val="28"/>
          <w:szCs w:val="28"/>
          <w:u w:val="none"/>
          <w14:textFill>
            <w14:solidFill>
              <w14:schemeClr w14:val="tx1"/>
            </w14:solidFill>
          </w14:textFill>
        </w:rPr>
        <w:fldChar w:fldCharType="begin"/>
      </w:r>
      <w:r>
        <w:rPr>
          <w:rFonts w:hint="eastAsia" w:ascii="黑体" w:hAnsi="黑体" w:eastAsia="黑体" w:cs="黑体"/>
          <w:color w:val="000000" w:themeColor="text1"/>
          <w:sz w:val="28"/>
          <w:szCs w:val="28"/>
          <w:u w:val="none"/>
          <w14:textFill>
            <w14:solidFill>
              <w14:schemeClr w14:val="tx1"/>
            </w14:solidFill>
          </w14:textFill>
        </w:rPr>
        <w:instrText xml:space="preserve"> HYPERLINK \l "_十、体检" </w:instrText>
      </w:r>
      <w:r>
        <w:rPr>
          <w:rFonts w:hint="eastAsia" w:ascii="黑体" w:hAnsi="黑体" w:eastAsia="黑体" w:cs="黑体"/>
          <w:color w:val="000000" w:themeColor="text1"/>
          <w:sz w:val="28"/>
          <w:szCs w:val="28"/>
          <w:u w:val="none"/>
          <w14:textFill>
            <w14:solidFill>
              <w14:schemeClr w14:val="tx1"/>
            </w14:solidFill>
          </w14:textFill>
        </w:rPr>
        <w:fldChar w:fldCharType="separate"/>
      </w:r>
      <w:r>
        <w:rPr>
          <w:rStyle w:val="11"/>
          <w:rFonts w:hint="eastAsia" w:ascii="黑体" w:hAnsi="黑体" w:eastAsia="黑体" w:cs="黑体"/>
          <w:color w:val="000000" w:themeColor="text1"/>
          <w:sz w:val="28"/>
          <w:szCs w:val="28"/>
          <w14:textFill>
            <w14:solidFill>
              <w14:schemeClr w14:val="tx1"/>
            </w14:solidFill>
          </w14:textFill>
        </w:rPr>
        <w:t>十、体检</w:t>
      </w:r>
      <w:r>
        <w:rPr>
          <w:rStyle w:val="11"/>
          <w:rFonts w:ascii="黑体" w:hAnsi="黑体" w:eastAsia="黑体" w:cs="黑体"/>
          <w:color w:val="000000" w:themeColor="text1"/>
          <w:sz w:val="28"/>
          <w:szCs w:val="28"/>
          <w14:textFill>
            <w14:solidFill>
              <w14:schemeClr w14:val="tx1"/>
            </w14:solidFill>
          </w14:textFill>
        </w:rPr>
        <w:tab/>
      </w:r>
      <w:r>
        <w:rPr>
          <w:rStyle w:val="11"/>
          <w:rFonts w:hint="eastAsia" w:ascii="黑体" w:hAnsi="黑体" w:eastAsia="黑体" w:cs="黑体"/>
          <w:color w:val="000000" w:themeColor="text1"/>
          <w:sz w:val="28"/>
          <w:szCs w:val="28"/>
          <w:lang w:val="en-US" w:eastAsia="zh-CN"/>
          <w14:textFill>
            <w14:solidFill>
              <w14:schemeClr w14:val="tx1"/>
            </w14:solidFill>
          </w14:textFill>
        </w:rPr>
        <w:t>13</w:t>
      </w:r>
      <w:r>
        <w:rPr>
          <w:rFonts w:hint="eastAsia" w:ascii="黑体" w:hAnsi="黑体" w:eastAsia="黑体" w:cs="黑体"/>
          <w:color w:val="000000" w:themeColor="text1"/>
          <w:sz w:val="28"/>
          <w:szCs w:val="28"/>
          <w:u w:val="none"/>
          <w14:textFill>
            <w14:solidFill>
              <w14:schemeClr w14:val="tx1"/>
            </w14:solidFill>
          </w14:textFill>
        </w:rPr>
        <w:fldChar w:fldCharType="end"/>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rFonts w:hint="eastAsia" w:ascii="楷体" w:hAnsi="楷体" w:eastAsia="楷体" w:cs="楷体"/>
          <w:color w:val="000000" w:themeColor="text1"/>
          <w:sz w:val="28"/>
          <w:szCs w:val="28"/>
          <w:u w:val="none"/>
          <w14:textFill>
            <w14:solidFill>
              <w14:schemeClr w14:val="tx1"/>
            </w14:solidFill>
          </w14:textFill>
        </w:rPr>
        <w:fldChar w:fldCharType="begin"/>
      </w:r>
      <w:r>
        <w:rPr>
          <w:rFonts w:hint="eastAsia" w:ascii="楷体" w:hAnsi="楷体" w:eastAsia="楷体" w:cs="楷体"/>
          <w:color w:val="000000" w:themeColor="text1"/>
          <w:sz w:val="28"/>
          <w:szCs w:val="28"/>
          <w:u w:val="none"/>
          <w14:textFill>
            <w14:solidFill>
              <w14:schemeClr w14:val="tx1"/>
            </w14:solidFill>
          </w14:textFill>
        </w:rPr>
        <w:instrText xml:space="preserve"> HYPERLINK \l "_（一）确定人选" </w:instrText>
      </w:r>
      <w:r>
        <w:rPr>
          <w:rFonts w:hint="eastAsia" w:ascii="楷体" w:hAnsi="楷体" w:eastAsia="楷体" w:cs="楷体"/>
          <w:color w:val="000000" w:themeColor="text1"/>
          <w:sz w:val="28"/>
          <w:szCs w:val="28"/>
          <w:u w:val="none"/>
          <w14:textFill>
            <w14:solidFill>
              <w14:schemeClr w14:val="tx1"/>
            </w14:solidFill>
          </w14:textFill>
        </w:rPr>
        <w:fldChar w:fldCharType="separate"/>
      </w:r>
      <w:r>
        <w:rPr>
          <w:rStyle w:val="11"/>
          <w:rFonts w:hint="eastAsia" w:ascii="楷体" w:hAnsi="楷体" w:eastAsia="楷体" w:cs="楷体"/>
          <w:color w:val="000000" w:themeColor="text1"/>
          <w:sz w:val="28"/>
          <w:szCs w:val="28"/>
          <w14:textFill>
            <w14:solidFill>
              <w14:schemeClr w14:val="tx1"/>
            </w14:solidFill>
          </w14:textFill>
        </w:rPr>
        <w:t>（一）确定人选</w:t>
      </w:r>
      <w:r>
        <w:rPr>
          <w:rStyle w:val="11"/>
          <w:rFonts w:ascii="楷体" w:hAnsi="楷体" w:eastAsia="楷体" w:cs="楷体"/>
          <w:color w:val="000000" w:themeColor="text1"/>
          <w:sz w:val="28"/>
          <w:szCs w:val="28"/>
          <w14:textFill>
            <w14:solidFill>
              <w14:schemeClr w14:val="tx1"/>
            </w14:solidFill>
          </w14:textFill>
        </w:rPr>
        <w:tab/>
      </w:r>
      <w:r>
        <w:rPr>
          <w:rStyle w:val="11"/>
          <w:rFonts w:hint="eastAsia" w:ascii="楷体" w:hAnsi="楷体" w:eastAsia="楷体" w:cs="楷体"/>
          <w:color w:val="000000" w:themeColor="text1"/>
          <w:sz w:val="28"/>
          <w:szCs w:val="28"/>
          <w:lang w:val="en-US" w:eastAsia="zh-CN"/>
          <w14:textFill>
            <w14:solidFill>
              <w14:schemeClr w14:val="tx1"/>
            </w14:solidFill>
          </w14:textFill>
        </w:rPr>
        <w:t>13</w:t>
      </w:r>
      <w:r>
        <w:rPr>
          <w:rFonts w:hint="eastAsia" w:ascii="楷体" w:hAnsi="楷体" w:eastAsia="楷体" w:cs="楷体"/>
          <w:color w:val="000000" w:themeColor="text1"/>
          <w:sz w:val="28"/>
          <w:szCs w:val="28"/>
          <w:u w:val="none"/>
          <w14:textFill>
            <w14:solidFill>
              <w14:schemeClr w14:val="tx1"/>
            </w14:solidFill>
          </w14:textFill>
        </w:rPr>
        <w:fldChar w:fldCharType="end"/>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"_Toc31894"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（二）组织体检</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1</w:t>
      </w:r>
      <w:r>
        <w:rPr>
          <w:rFonts w:ascii="楷体" w:hAnsi="楷体" w:eastAsia="楷体" w:cs="楷体"/>
          <w:color w:val="000000" w:themeColor="text1"/>
          <w:sz w:val="28"/>
          <w:szCs w:val="28"/>
          <w14:textFill>
            <w14:solidFill>
              <w14:schemeClr w14:val="tx1"/>
            </w14:solidFill>
          </w14:textFill>
        </w:rPr>
        <w:fldChar w:fldCharType="end"/>
      </w:r>
      <w:r>
        <w:rPr>
          <w:rFonts w:hint="eastAsia" w:ascii="楷体" w:hAnsi="楷体" w:eastAsia="楷体" w:cs="楷体"/>
          <w:color w:val="000000" w:themeColor="text1"/>
          <w:sz w:val="28"/>
          <w:szCs w:val="28"/>
          <w:lang w:val="en-US" w:eastAsia="zh-CN"/>
          <w14:textFill>
            <w14:solidFill>
              <w14:schemeClr w14:val="tx1"/>
            </w14:solidFill>
          </w14:textFill>
        </w:rPr>
        <w:t>3</w:t>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rFonts w:hint="eastAsia" w:ascii="楷体" w:hAnsi="楷体" w:eastAsia="楷体" w:cs="楷体"/>
          <w:color w:val="000000" w:themeColor="text1"/>
          <w:sz w:val="28"/>
          <w:szCs w:val="28"/>
          <w:u w:val="none"/>
          <w14:textFill>
            <w14:solidFill>
              <w14:schemeClr w14:val="tx1"/>
            </w14:solidFill>
          </w14:textFill>
        </w:rPr>
        <w:fldChar w:fldCharType="begin"/>
      </w:r>
      <w:r>
        <w:rPr>
          <w:rFonts w:hint="eastAsia" w:ascii="楷体" w:hAnsi="楷体" w:eastAsia="楷体" w:cs="楷体"/>
          <w:color w:val="000000" w:themeColor="text1"/>
          <w:sz w:val="28"/>
          <w:szCs w:val="28"/>
          <w:u w:val="none"/>
          <w14:textFill>
            <w14:solidFill>
              <w14:schemeClr w14:val="tx1"/>
            </w14:solidFill>
          </w14:textFill>
        </w:rPr>
        <w:instrText xml:space="preserve"> HYPERLINK \l "_（三）体检依据" </w:instrText>
      </w:r>
      <w:r>
        <w:rPr>
          <w:rFonts w:hint="eastAsia" w:ascii="楷体" w:hAnsi="楷体" w:eastAsia="楷体" w:cs="楷体"/>
          <w:color w:val="000000" w:themeColor="text1"/>
          <w:sz w:val="28"/>
          <w:szCs w:val="28"/>
          <w:u w:val="none"/>
          <w14:textFill>
            <w14:solidFill>
              <w14:schemeClr w14:val="tx1"/>
            </w14:solidFill>
          </w14:textFill>
        </w:rPr>
        <w:fldChar w:fldCharType="separate"/>
      </w:r>
      <w:r>
        <w:rPr>
          <w:rStyle w:val="11"/>
          <w:rFonts w:hint="eastAsia" w:ascii="楷体" w:hAnsi="楷体" w:eastAsia="楷体" w:cs="楷体"/>
          <w:color w:val="000000" w:themeColor="text1"/>
          <w:sz w:val="28"/>
          <w:szCs w:val="28"/>
          <w14:textFill>
            <w14:solidFill>
              <w14:schemeClr w14:val="tx1"/>
            </w14:solidFill>
          </w14:textFill>
        </w:rPr>
        <w:t>（三）体检依据</w:t>
      </w:r>
      <w:r>
        <w:rPr>
          <w:rStyle w:val="11"/>
          <w:rFonts w:ascii="楷体" w:hAnsi="楷体" w:eastAsia="楷体" w:cs="楷体"/>
          <w:color w:val="000000" w:themeColor="text1"/>
          <w:sz w:val="28"/>
          <w:szCs w:val="28"/>
          <w14:textFill>
            <w14:solidFill>
              <w14:schemeClr w14:val="tx1"/>
            </w14:solidFill>
          </w14:textFill>
        </w:rPr>
        <w:tab/>
      </w:r>
      <w:r>
        <w:rPr>
          <w:rStyle w:val="11"/>
          <w:rFonts w:hint="eastAsia" w:ascii="楷体" w:hAnsi="楷体" w:eastAsia="楷体" w:cs="楷体"/>
          <w:color w:val="000000" w:themeColor="text1"/>
          <w:sz w:val="28"/>
          <w:szCs w:val="28"/>
          <w:lang w:val="en-US" w:eastAsia="zh-CN"/>
          <w14:textFill>
            <w14:solidFill>
              <w14:schemeClr w14:val="tx1"/>
            </w14:solidFill>
          </w14:textFill>
        </w:rPr>
        <w:t>13</w:t>
      </w:r>
      <w:r>
        <w:rPr>
          <w:rFonts w:hint="eastAsia" w:ascii="楷体" w:hAnsi="楷体" w:eastAsia="楷体" w:cs="楷体"/>
          <w:color w:val="000000" w:themeColor="text1"/>
          <w:sz w:val="28"/>
          <w:szCs w:val="28"/>
          <w:u w:val="none"/>
          <w14:textFill>
            <w14:solidFill>
              <w14:schemeClr w14:val="tx1"/>
            </w14:solidFill>
          </w14:textFill>
        </w:rPr>
        <w:fldChar w:fldCharType="end"/>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rFonts w:hint="eastAsia" w:ascii="楷体" w:hAnsi="楷体" w:eastAsia="楷体" w:cs="楷体"/>
          <w:color w:val="000000" w:themeColor="text1"/>
          <w:sz w:val="28"/>
          <w:szCs w:val="28"/>
          <w:u w:val="none"/>
          <w14:textFill>
            <w14:solidFill>
              <w14:schemeClr w14:val="tx1"/>
            </w14:solidFill>
          </w14:textFill>
        </w:rPr>
        <w:fldChar w:fldCharType="begin"/>
      </w:r>
      <w:r>
        <w:rPr>
          <w:rFonts w:hint="eastAsia" w:ascii="楷体" w:hAnsi="楷体" w:eastAsia="楷体" w:cs="楷体"/>
          <w:color w:val="000000" w:themeColor="text1"/>
          <w:sz w:val="28"/>
          <w:szCs w:val="28"/>
          <w:u w:val="none"/>
          <w14:textFill>
            <w14:solidFill>
              <w14:schemeClr w14:val="tx1"/>
            </w14:solidFill>
          </w14:textFill>
        </w:rPr>
        <w:instrText xml:space="preserve"> HYPERLINK \l "_（四）体检复检" </w:instrText>
      </w:r>
      <w:r>
        <w:rPr>
          <w:rFonts w:hint="eastAsia" w:ascii="楷体" w:hAnsi="楷体" w:eastAsia="楷体" w:cs="楷体"/>
          <w:color w:val="000000" w:themeColor="text1"/>
          <w:sz w:val="28"/>
          <w:szCs w:val="28"/>
          <w:u w:val="none"/>
          <w14:textFill>
            <w14:solidFill>
              <w14:schemeClr w14:val="tx1"/>
            </w14:solidFill>
          </w14:textFill>
        </w:rPr>
        <w:fldChar w:fldCharType="separate"/>
      </w:r>
      <w:r>
        <w:rPr>
          <w:rStyle w:val="11"/>
          <w:rFonts w:hint="eastAsia" w:ascii="楷体" w:hAnsi="楷体" w:eastAsia="楷体" w:cs="楷体"/>
          <w:color w:val="000000" w:themeColor="text1"/>
          <w:sz w:val="28"/>
          <w:szCs w:val="28"/>
          <w14:textFill>
            <w14:solidFill>
              <w14:schemeClr w14:val="tx1"/>
            </w14:solidFill>
          </w14:textFill>
        </w:rPr>
        <w:t>（四）体检复检</w:t>
      </w:r>
      <w:r>
        <w:rPr>
          <w:rStyle w:val="11"/>
          <w:rFonts w:ascii="楷体" w:hAnsi="楷体" w:eastAsia="楷体" w:cs="楷体"/>
          <w:color w:val="000000" w:themeColor="text1"/>
          <w:sz w:val="28"/>
          <w:szCs w:val="28"/>
          <w14:textFill>
            <w14:solidFill>
              <w14:schemeClr w14:val="tx1"/>
            </w14:solidFill>
          </w14:textFill>
        </w:rPr>
        <w:tab/>
      </w:r>
      <w:r>
        <w:rPr>
          <w:rStyle w:val="11"/>
          <w:rFonts w:hint="eastAsia" w:ascii="楷体" w:hAnsi="楷体" w:eastAsia="楷体" w:cs="楷体"/>
          <w:color w:val="000000" w:themeColor="text1"/>
          <w:sz w:val="28"/>
          <w:szCs w:val="28"/>
          <w:lang w:val="en-US" w:eastAsia="zh-CN"/>
          <w14:textFill>
            <w14:solidFill>
              <w14:schemeClr w14:val="tx1"/>
            </w14:solidFill>
          </w14:textFill>
        </w:rPr>
        <w:t>14</w:t>
      </w:r>
      <w:r>
        <w:rPr>
          <w:rFonts w:hint="eastAsia" w:ascii="楷体" w:hAnsi="楷体" w:eastAsia="楷体" w:cs="楷体"/>
          <w:color w:val="000000" w:themeColor="text1"/>
          <w:sz w:val="28"/>
          <w:szCs w:val="28"/>
          <w:u w:val="none"/>
          <w14:textFill>
            <w14:solidFill>
              <w14:schemeClr w14:val="tx1"/>
            </w14:solidFill>
          </w14:textFill>
        </w:rPr>
        <w:fldChar w:fldCharType="end"/>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"_Toc739"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（五）可延迟体检的情形</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1</w:t>
      </w:r>
      <w:r>
        <w:rPr>
          <w:rFonts w:ascii="楷体" w:hAnsi="楷体" w:eastAsia="楷体" w:cs="楷体"/>
          <w:color w:val="000000" w:themeColor="text1"/>
          <w:sz w:val="28"/>
          <w:szCs w:val="28"/>
          <w14:textFill>
            <w14:solidFill>
              <w14:schemeClr w14:val="tx1"/>
            </w14:solidFill>
          </w14:textFill>
        </w:rPr>
        <w:fldChar w:fldCharType="end"/>
      </w:r>
      <w:r>
        <w:rPr>
          <w:rFonts w:hint="eastAsia" w:ascii="楷体" w:hAnsi="楷体" w:eastAsia="楷体" w:cs="楷体"/>
          <w:color w:val="000000" w:themeColor="text1"/>
          <w:sz w:val="28"/>
          <w:szCs w:val="28"/>
          <w:lang w:val="en-US" w:eastAsia="zh-CN"/>
          <w14:textFill>
            <w14:solidFill>
              <w14:schemeClr w14:val="tx1"/>
            </w14:solidFill>
          </w14:textFill>
        </w:rPr>
        <w:t>5</w:t>
      </w:r>
    </w:p>
    <w:p>
      <w:pPr>
        <w:pStyle w:val="18"/>
        <w:tabs>
          <w:tab w:val="right" w:leader="dot" w:pos="8306"/>
        </w:tabs>
        <w:spacing w:line="420" w:lineRule="exact"/>
        <w:rPr>
          <w:rFonts w:hint="eastAsia" w:ascii="黑体" w:hAnsi="黑体" w:eastAsia="黑体" w:cs="黑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"_Toc8472" </w:instrText>
      </w:r>
      <w:r>
        <w:rPr>
          <w:color w:val="000000" w:themeColor="text1"/>
          <w14:textFill>
            <w14:solidFill>
              <w14:schemeClr w14:val="tx1"/>
            </w14:solidFill>
          </w14:textFill>
        </w:rPr>
        <w:fldChar w:fldCharType="separate"/>
      </w:r>
      <w:r>
        <w:rPr>
          <w:rFonts w:hint="eastAsia" w:ascii="黑体" w:hAnsi="黑体" w:eastAsia="黑体" w:cs="黑体"/>
          <w:color w:val="000000" w:themeColor="text1"/>
          <w:sz w:val="28"/>
          <w:szCs w:val="28"/>
          <w14:textFill>
            <w14:solidFill>
              <w14:schemeClr w14:val="tx1"/>
            </w14:solidFill>
          </w14:textFill>
        </w:rPr>
        <w:t>十一、考察</w:t>
      </w:r>
      <w:r>
        <w:rPr>
          <w:rFonts w:ascii="黑体" w:hAnsi="黑体" w:eastAsia="黑体" w:cs="黑体"/>
          <w:color w:val="000000" w:themeColor="text1"/>
          <w:sz w:val="28"/>
          <w:szCs w:val="28"/>
          <w14:textFill>
            <w14:solidFill>
              <w14:schemeClr w14:val="tx1"/>
            </w14:solidFill>
          </w14:textFill>
        </w:rPr>
        <w:tab/>
      </w:r>
      <w:r>
        <w:rPr>
          <w:rFonts w:hint="eastAsia" w:ascii="黑体" w:hAnsi="黑体" w:eastAsia="黑体" w:cs="黑体"/>
          <w:color w:val="000000" w:themeColor="text1"/>
          <w:sz w:val="28"/>
          <w:szCs w:val="28"/>
          <w:lang w:val="en-US" w:eastAsia="zh-CN"/>
          <w14:textFill>
            <w14:solidFill>
              <w14:schemeClr w14:val="tx1"/>
            </w14:solidFill>
          </w14:textFill>
        </w:rPr>
        <w:t>1</w:t>
      </w:r>
      <w:r>
        <w:rPr>
          <w:rFonts w:ascii="黑体" w:hAnsi="黑体" w:eastAsia="黑体" w:cs="黑体"/>
          <w:color w:val="000000" w:themeColor="text1"/>
          <w:sz w:val="28"/>
          <w:szCs w:val="28"/>
          <w14:textFill>
            <w14:solidFill>
              <w14:schemeClr w14:val="tx1"/>
            </w14:solidFill>
          </w14:textFill>
        </w:rPr>
        <w:fldChar w:fldCharType="end"/>
      </w:r>
      <w:r>
        <w:rPr>
          <w:rFonts w:hint="eastAsia" w:ascii="黑体" w:hAnsi="黑体" w:eastAsia="黑体" w:cs="黑体"/>
          <w:color w:val="000000" w:themeColor="text1"/>
          <w:sz w:val="28"/>
          <w:szCs w:val="28"/>
          <w:lang w:val="en-US" w:eastAsia="zh-CN"/>
          <w14:textFill>
            <w14:solidFill>
              <w14:schemeClr w14:val="tx1"/>
            </w14:solidFill>
          </w14:textFill>
        </w:rPr>
        <w:t>5</w:t>
      </w:r>
    </w:p>
    <w:p>
      <w:pPr>
        <w:pStyle w:val="18"/>
        <w:tabs>
          <w:tab w:val="right" w:leader="dot" w:pos="8306"/>
        </w:tabs>
        <w:spacing w:line="420" w:lineRule="exact"/>
        <w:rPr>
          <w:rFonts w:hint="eastAsia" w:ascii="黑体" w:hAnsi="黑体" w:eastAsia="黑体" w:cs="黑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"_Toc2745" </w:instrText>
      </w:r>
      <w:r>
        <w:rPr>
          <w:color w:val="000000" w:themeColor="text1"/>
          <w14:textFill>
            <w14:solidFill>
              <w14:schemeClr w14:val="tx1"/>
            </w14:solidFill>
          </w14:textFill>
        </w:rPr>
        <w:fldChar w:fldCharType="separate"/>
      </w:r>
      <w:r>
        <w:rPr>
          <w:rFonts w:hint="eastAsia" w:ascii="黑体" w:hAnsi="黑体" w:eastAsia="黑体" w:cs="黑体"/>
          <w:color w:val="000000" w:themeColor="text1"/>
          <w:sz w:val="28"/>
          <w:szCs w:val="28"/>
          <w14:textFill>
            <w14:solidFill>
              <w14:schemeClr w14:val="tx1"/>
            </w14:solidFill>
          </w14:textFill>
        </w:rPr>
        <w:t>十</w:t>
      </w:r>
      <w:r>
        <w:rPr>
          <w:rFonts w:hint="eastAsia" w:ascii="黑体" w:hAnsi="黑体" w:eastAsia="黑体" w:cs="黑体"/>
          <w:color w:val="000000" w:themeColor="text1"/>
          <w:sz w:val="28"/>
          <w:szCs w:val="28"/>
          <w:lang w:eastAsia="zh-CN"/>
          <w14:textFill>
            <w14:solidFill>
              <w14:schemeClr w14:val="tx1"/>
            </w14:solidFill>
          </w14:textFill>
        </w:rPr>
        <w:t>二</w:t>
      </w:r>
      <w:r>
        <w:rPr>
          <w:rFonts w:hint="eastAsia" w:ascii="黑体" w:hAnsi="黑体" w:eastAsia="黑体" w:cs="黑体"/>
          <w:color w:val="000000" w:themeColor="text1"/>
          <w:sz w:val="28"/>
          <w:szCs w:val="28"/>
          <w14:textFill>
            <w14:solidFill>
              <w14:schemeClr w14:val="tx1"/>
            </w14:solidFill>
          </w14:textFill>
        </w:rPr>
        <w:t>、聘用</w:t>
      </w:r>
      <w:r>
        <w:rPr>
          <w:rFonts w:ascii="黑体" w:hAnsi="黑体" w:eastAsia="黑体" w:cs="黑体"/>
          <w:color w:val="000000" w:themeColor="text1"/>
          <w:sz w:val="28"/>
          <w:szCs w:val="28"/>
          <w14:textFill>
            <w14:solidFill>
              <w14:schemeClr w14:val="tx1"/>
            </w14:solidFill>
          </w14:textFill>
        </w:rPr>
        <w:tab/>
      </w:r>
      <w:r>
        <w:rPr>
          <w:rFonts w:hint="eastAsia" w:ascii="黑体" w:hAnsi="黑体" w:eastAsia="黑体" w:cs="黑体"/>
          <w:color w:val="000000" w:themeColor="text1"/>
          <w:sz w:val="28"/>
          <w:szCs w:val="28"/>
          <w:lang w:val="en-US" w:eastAsia="zh-CN"/>
          <w14:textFill>
            <w14:solidFill>
              <w14:schemeClr w14:val="tx1"/>
            </w14:solidFill>
          </w14:textFill>
        </w:rPr>
        <w:t>1</w:t>
      </w:r>
      <w:r>
        <w:rPr>
          <w:rFonts w:ascii="黑体" w:hAnsi="黑体" w:eastAsia="黑体" w:cs="黑体"/>
          <w:color w:val="000000" w:themeColor="text1"/>
          <w:sz w:val="28"/>
          <w:szCs w:val="28"/>
          <w14:textFill>
            <w14:solidFill>
              <w14:schemeClr w14:val="tx1"/>
            </w14:solidFill>
          </w14:textFill>
        </w:rPr>
        <w:fldChar w:fldCharType="end"/>
      </w:r>
      <w:r>
        <w:rPr>
          <w:rFonts w:hint="eastAsia" w:ascii="黑体" w:hAnsi="黑体" w:eastAsia="黑体" w:cs="黑体"/>
          <w:color w:val="000000" w:themeColor="text1"/>
          <w:sz w:val="28"/>
          <w:szCs w:val="28"/>
          <w:lang w:val="en-US" w:eastAsia="zh-CN"/>
          <w14:textFill>
            <w14:solidFill>
              <w14:schemeClr w14:val="tx1"/>
            </w14:solidFill>
          </w14:textFill>
        </w:rPr>
        <w:t>5</w:t>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"_Toc14984"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（一）手续办理</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1</w:t>
      </w:r>
      <w:r>
        <w:rPr>
          <w:rFonts w:ascii="楷体" w:hAnsi="楷体" w:eastAsia="楷体" w:cs="楷体"/>
          <w:color w:val="000000" w:themeColor="text1"/>
          <w:sz w:val="28"/>
          <w:szCs w:val="28"/>
          <w14:textFill>
            <w14:solidFill>
              <w14:schemeClr w14:val="tx1"/>
            </w14:solidFill>
          </w14:textFill>
        </w:rPr>
        <w:fldChar w:fldCharType="end"/>
      </w:r>
      <w:r>
        <w:rPr>
          <w:rFonts w:hint="eastAsia" w:ascii="楷体" w:hAnsi="楷体" w:eastAsia="楷体" w:cs="楷体"/>
          <w:color w:val="000000" w:themeColor="text1"/>
          <w:sz w:val="28"/>
          <w:szCs w:val="28"/>
          <w:lang w:val="en-US" w:eastAsia="zh-CN"/>
          <w14:textFill>
            <w14:solidFill>
              <w14:schemeClr w14:val="tx1"/>
            </w14:solidFill>
          </w14:textFill>
        </w:rPr>
        <w:t>5</w:t>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"_Toc27370"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（二）岗位聘任</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1</w:t>
      </w:r>
      <w:r>
        <w:rPr>
          <w:rFonts w:ascii="楷体" w:hAnsi="楷体" w:eastAsia="楷体" w:cs="楷体"/>
          <w:color w:val="000000" w:themeColor="text1"/>
          <w:sz w:val="28"/>
          <w:szCs w:val="28"/>
          <w14:textFill>
            <w14:solidFill>
              <w14:schemeClr w14:val="tx1"/>
            </w14:solidFill>
          </w14:textFill>
        </w:rPr>
        <w:fldChar w:fldCharType="end"/>
      </w:r>
      <w:r>
        <w:rPr>
          <w:rFonts w:hint="eastAsia" w:ascii="楷体" w:hAnsi="楷体" w:eastAsia="楷体" w:cs="楷体"/>
          <w:color w:val="000000" w:themeColor="text1"/>
          <w:sz w:val="28"/>
          <w:szCs w:val="28"/>
          <w:lang w:val="en-US" w:eastAsia="zh-CN"/>
          <w14:textFill>
            <w14:solidFill>
              <w14:schemeClr w14:val="tx1"/>
            </w14:solidFill>
          </w14:textFill>
        </w:rPr>
        <w:t>6</w:t>
      </w:r>
    </w:p>
    <w:p>
      <w:pPr>
        <w:pStyle w:val="18"/>
        <w:tabs>
          <w:tab w:val="right" w:leader="dot" w:pos="8306"/>
        </w:tabs>
        <w:spacing w:line="420" w:lineRule="exact"/>
        <w:rPr>
          <w:rFonts w:hint="eastAsia" w:ascii="黑体" w:hAnsi="黑体" w:eastAsia="黑体" w:cs="黑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"_Toc5705" </w:instrText>
      </w:r>
      <w:r>
        <w:rPr>
          <w:color w:val="000000" w:themeColor="text1"/>
          <w14:textFill>
            <w14:solidFill>
              <w14:schemeClr w14:val="tx1"/>
            </w14:solidFill>
          </w14:textFill>
        </w:rPr>
        <w:fldChar w:fldCharType="separate"/>
      </w:r>
      <w:r>
        <w:rPr>
          <w:rFonts w:hint="eastAsia" w:ascii="黑体" w:hAnsi="黑体" w:eastAsia="黑体" w:cs="黑体"/>
          <w:color w:val="000000" w:themeColor="text1"/>
          <w:sz w:val="28"/>
          <w:szCs w:val="28"/>
          <w14:textFill>
            <w14:solidFill>
              <w14:schemeClr w14:val="tx1"/>
            </w14:solidFill>
          </w14:textFill>
        </w:rPr>
        <w:t>十</w:t>
      </w:r>
      <w:r>
        <w:rPr>
          <w:rFonts w:hint="eastAsia" w:ascii="黑体" w:hAnsi="黑体" w:eastAsia="黑体" w:cs="黑体"/>
          <w:color w:val="000000" w:themeColor="text1"/>
          <w:sz w:val="28"/>
          <w:szCs w:val="28"/>
          <w:lang w:eastAsia="zh-CN"/>
          <w14:textFill>
            <w14:solidFill>
              <w14:schemeClr w14:val="tx1"/>
            </w14:solidFill>
          </w14:textFill>
        </w:rPr>
        <w:t>三</w:t>
      </w:r>
      <w:r>
        <w:rPr>
          <w:rFonts w:hint="eastAsia" w:ascii="黑体" w:hAnsi="黑体" w:eastAsia="黑体" w:cs="黑体"/>
          <w:color w:val="000000" w:themeColor="text1"/>
          <w:sz w:val="28"/>
          <w:szCs w:val="28"/>
          <w14:textFill>
            <w14:solidFill>
              <w14:schemeClr w14:val="tx1"/>
            </w14:solidFill>
          </w14:textFill>
        </w:rPr>
        <w:t>、其他事项</w:t>
      </w:r>
      <w:r>
        <w:rPr>
          <w:rFonts w:ascii="黑体" w:hAnsi="黑体" w:eastAsia="黑体" w:cs="黑体"/>
          <w:color w:val="000000" w:themeColor="text1"/>
          <w:sz w:val="28"/>
          <w:szCs w:val="28"/>
          <w14:textFill>
            <w14:solidFill>
              <w14:schemeClr w14:val="tx1"/>
            </w14:solidFill>
          </w14:textFill>
        </w:rPr>
        <w:tab/>
      </w:r>
      <w:r>
        <w:rPr>
          <w:rFonts w:hint="eastAsia" w:ascii="黑体" w:hAnsi="黑体" w:eastAsia="黑体" w:cs="黑体"/>
          <w:color w:val="000000" w:themeColor="text1"/>
          <w:sz w:val="28"/>
          <w:szCs w:val="28"/>
          <w:lang w:val="en-US" w:eastAsia="zh-CN"/>
          <w14:textFill>
            <w14:solidFill>
              <w14:schemeClr w14:val="tx1"/>
            </w14:solidFill>
          </w14:textFill>
        </w:rPr>
        <w:t>1</w:t>
      </w:r>
      <w:r>
        <w:rPr>
          <w:rFonts w:ascii="黑体" w:hAnsi="黑体" w:eastAsia="黑体" w:cs="黑体"/>
          <w:color w:val="000000" w:themeColor="text1"/>
          <w:sz w:val="28"/>
          <w:szCs w:val="28"/>
          <w14:textFill>
            <w14:solidFill>
              <w14:schemeClr w14:val="tx1"/>
            </w14:solidFill>
          </w14:textFill>
        </w:rPr>
        <w:fldChar w:fldCharType="end"/>
      </w:r>
      <w:r>
        <w:rPr>
          <w:rFonts w:hint="eastAsia" w:ascii="黑体" w:hAnsi="黑体" w:eastAsia="黑体" w:cs="黑体"/>
          <w:color w:val="000000" w:themeColor="text1"/>
          <w:sz w:val="28"/>
          <w:szCs w:val="28"/>
          <w:lang w:val="en-US" w:eastAsia="zh-CN"/>
          <w14:textFill>
            <w14:solidFill>
              <w14:schemeClr w14:val="tx1"/>
            </w14:solidFill>
          </w14:textFill>
        </w:rPr>
        <w:t>6</w:t>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"_Toc10955"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（一）中共党员</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1</w:t>
      </w:r>
      <w:r>
        <w:rPr>
          <w:rFonts w:ascii="楷体" w:hAnsi="楷体" w:eastAsia="楷体" w:cs="楷体"/>
          <w:color w:val="000000" w:themeColor="text1"/>
          <w:sz w:val="28"/>
          <w:szCs w:val="28"/>
          <w14:textFill>
            <w14:solidFill>
              <w14:schemeClr w14:val="tx1"/>
            </w14:solidFill>
          </w14:textFill>
        </w:rPr>
        <w:fldChar w:fldCharType="end"/>
      </w:r>
      <w:r>
        <w:rPr>
          <w:rFonts w:hint="eastAsia" w:ascii="楷体" w:hAnsi="楷体" w:eastAsia="楷体" w:cs="楷体"/>
          <w:color w:val="000000" w:themeColor="text1"/>
          <w:sz w:val="28"/>
          <w:szCs w:val="28"/>
          <w:lang w:val="en-US" w:eastAsia="zh-CN"/>
          <w14:textFill>
            <w14:solidFill>
              <w14:schemeClr w14:val="tx1"/>
            </w14:solidFill>
          </w14:textFill>
        </w:rPr>
        <w:t>6</w:t>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"_Toc1238"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（二）职称</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1</w:t>
      </w:r>
      <w:r>
        <w:rPr>
          <w:rFonts w:ascii="楷体" w:hAnsi="楷体" w:eastAsia="楷体" w:cs="楷体"/>
          <w:color w:val="000000" w:themeColor="text1"/>
          <w:sz w:val="28"/>
          <w:szCs w:val="28"/>
          <w14:textFill>
            <w14:solidFill>
              <w14:schemeClr w14:val="tx1"/>
            </w14:solidFill>
          </w14:textFill>
        </w:rPr>
        <w:fldChar w:fldCharType="end"/>
      </w:r>
      <w:r>
        <w:rPr>
          <w:rFonts w:hint="eastAsia" w:ascii="楷体" w:hAnsi="楷体" w:eastAsia="楷体" w:cs="楷体"/>
          <w:color w:val="000000" w:themeColor="text1"/>
          <w:sz w:val="28"/>
          <w:szCs w:val="28"/>
          <w:lang w:val="en-US" w:eastAsia="zh-CN"/>
          <w14:textFill>
            <w14:solidFill>
              <w14:schemeClr w14:val="tx1"/>
            </w14:solidFill>
          </w14:textFill>
        </w:rPr>
        <w:t>6</w:t>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"_Toc23989"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（三）规范化培训</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1</w:t>
      </w:r>
      <w:r>
        <w:rPr>
          <w:rFonts w:ascii="楷体" w:hAnsi="楷体" w:eastAsia="楷体" w:cs="楷体"/>
          <w:color w:val="000000" w:themeColor="text1"/>
          <w:sz w:val="28"/>
          <w:szCs w:val="28"/>
          <w14:textFill>
            <w14:solidFill>
              <w14:schemeClr w14:val="tx1"/>
            </w14:solidFill>
          </w14:textFill>
        </w:rPr>
        <w:fldChar w:fldCharType="end"/>
      </w:r>
      <w:r>
        <w:rPr>
          <w:rFonts w:hint="eastAsia" w:ascii="楷体" w:hAnsi="楷体" w:eastAsia="楷体" w:cs="楷体"/>
          <w:color w:val="000000" w:themeColor="text1"/>
          <w:sz w:val="28"/>
          <w:szCs w:val="28"/>
          <w:lang w:val="en-US" w:eastAsia="zh-CN"/>
          <w14:textFill>
            <w14:solidFill>
              <w14:schemeClr w14:val="tx1"/>
            </w14:solidFill>
          </w14:textFill>
        </w:rPr>
        <w:t>7</w:t>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rFonts w:hint="eastAsia" w:ascii="楷体" w:hAnsi="楷体" w:eastAsia="楷体" w:cs="楷体"/>
          <w:color w:val="000000" w:themeColor="text1"/>
          <w:sz w:val="28"/>
          <w:szCs w:val="28"/>
          <w:u w:val="none"/>
          <w14:textFill>
            <w14:solidFill>
              <w14:schemeClr w14:val="tx1"/>
            </w14:solidFill>
          </w14:textFill>
        </w:rPr>
        <w:fldChar w:fldCharType="begin"/>
      </w:r>
      <w:r>
        <w:rPr>
          <w:rFonts w:hint="eastAsia" w:ascii="楷体" w:hAnsi="楷体" w:eastAsia="楷体" w:cs="楷体"/>
          <w:color w:val="000000" w:themeColor="text1"/>
          <w:sz w:val="28"/>
          <w:szCs w:val="28"/>
          <w:u w:val="none"/>
          <w14:textFill>
            <w14:solidFill>
              <w14:schemeClr w14:val="tx1"/>
            </w14:solidFill>
          </w14:textFill>
        </w:rPr>
        <w:instrText xml:space="preserve"> HYPERLINK \l "_（四）应届高校毕业生" </w:instrText>
      </w:r>
      <w:r>
        <w:rPr>
          <w:rFonts w:hint="eastAsia" w:ascii="楷体" w:hAnsi="楷体" w:eastAsia="楷体" w:cs="楷体"/>
          <w:color w:val="000000" w:themeColor="text1"/>
          <w:sz w:val="28"/>
          <w:szCs w:val="28"/>
          <w:u w:val="none"/>
          <w14:textFill>
            <w14:solidFill>
              <w14:schemeClr w14:val="tx1"/>
            </w14:solidFill>
          </w14:textFill>
        </w:rPr>
        <w:fldChar w:fldCharType="separate"/>
      </w:r>
      <w:r>
        <w:rPr>
          <w:rStyle w:val="11"/>
          <w:rFonts w:hint="eastAsia" w:ascii="楷体" w:hAnsi="楷体" w:eastAsia="楷体" w:cs="楷体"/>
          <w:color w:val="000000" w:themeColor="text1"/>
          <w:sz w:val="28"/>
          <w:szCs w:val="28"/>
          <w14:textFill>
            <w14:solidFill>
              <w14:schemeClr w14:val="tx1"/>
            </w14:solidFill>
          </w14:textFill>
        </w:rPr>
        <w:t>（四）应届高校毕业生</w:t>
      </w:r>
      <w:r>
        <w:rPr>
          <w:rStyle w:val="11"/>
          <w:rFonts w:hint="eastAsia" w:ascii="楷体" w:hAnsi="楷体" w:eastAsia="楷体" w:cs="楷体"/>
          <w:color w:val="000000" w:themeColor="text1"/>
          <w:sz w:val="28"/>
          <w:szCs w:val="28"/>
          <w14:textFill>
            <w14:solidFill>
              <w14:schemeClr w14:val="tx1"/>
            </w14:solidFill>
          </w14:textFill>
        </w:rPr>
        <w:tab/>
      </w:r>
      <w:r>
        <w:rPr>
          <w:rStyle w:val="11"/>
          <w:rFonts w:hint="eastAsia" w:ascii="楷体" w:hAnsi="楷体" w:eastAsia="楷体" w:cs="楷体"/>
          <w:color w:val="000000" w:themeColor="text1"/>
          <w:sz w:val="28"/>
          <w:szCs w:val="28"/>
          <w:lang w:val="en-US" w:eastAsia="zh-CN"/>
          <w14:textFill>
            <w14:solidFill>
              <w14:schemeClr w14:val="tx1"/>
            </w14:solidFill>
          </w14:textFill>
        </w:rPr>
        <w:t>1</w:t>
      </w:r>
      <w:r>
        <w:rPr>
          <w:rFonts w:hint="eastAsia" w:ascii="楷体" w:hAnsi="楷体" w:eastAsia="楷体" w:cs="楷体"/>
          <w:color w:val="000000" w:themeColor="text1"/>
          <w:sz w:val="28"/>
          <w:szCs w:val="28"/>
          <w:u w:val="none"/>
          <w14:textFill>
            <w14:solidFill>
              <w14:schemeClr w14:val="tx1"/>
            </w14:solidFill>
          </w14:textFill>
        </w:rPr>
        <w:fldChar w:fldCharType="end"/>
      </w:r>
      <w:r>
        <w:rPr>
          <w:rFonts w:hint="eastAsia" w:ascii="楷体" w:hAnsi="楷体" w:eastAsia="楷体" w:cs="楷体"/>
          <w:color w:val="000000" w:themeColor="text1"/>
          <w:sz w:val="28"/>
          <w:szCs w:val="28"/>
          <w:u w:val="none"/>
          <w:lang w:val="en-US" w:eastAsia="zh-CN"/>
          <w14:textFill>
            <w14:solidFill>
              <w14:schemeClr w14:val="tx1"/>
            </w14:solidFill>
          </w14:textFill>
        </w:rPr>
        <w:t>8</w:t>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rFonts w:hint="eastAsia" w:ascii="楷体" w:hAnsi="楷体" w:eastAsia="楷体" w:cs="楷体"/>
          <w:color w:val="000000" w:themeColor="text1"/>
          <w:sz w:val="28"/>
          <w:szCs w:val="28"/>
          <w:u w:val="none"/>
          <w14:textFill>
            <w14:solidFill>
              <w14:schemeClr w14:val="tx1"/>
            </w14:solidFill>
          </w14:textFill>
        </w:rPr>
        <w:fldChar w:fldCharType="begin"/>
      </w:r>
      <w:r>
        <w:rPr>
          <w:rFonts w:hint="eastAsia" w:ascii="楷体" w:hAnsi="楷体" w:eastAsia="楷体" w:cs="楷体"/>
          <w:color w:val="000000" w:themeColor="text1"/>
          <w:sz w:val="28"/>
          <w:szCs w:val="28"/>
          <w:u w:val="none"/>
          <w14:textFill>
            <w14:solidFill>
              <w14:schemeClr w14:val="tx1"/>
            </w14:solidFill>
          </w14:textFill>
        </w:rPr>
        <w:instrText xml:space="preserve"> HYPERLINK \l "_（五）生源" </w:instrText>
      </w:r>
      <w:r>
        <w:rPr>
          <w:rFonts w:hint="eastAsia" w:ascii="楷体" w:hAnsi="楷体" w:eastAsia="楷体" w:cs="楷体"/>
          <w:color w:val="000000" w:themeColor="text1"/>
          <w:sz w:val="28"/>
          <w:szCs w:val="28"/>
          <w:u w:val="none"/>
          <w14:textFill>
            <w14:solidFill>
              <w14:schemeClr w14:val="tx1"/>
            </w14:solidFill>
          </w14:textFill>
        </w:rPr>
        <w:fldChar w:fldCharType="separate"/>
      </w:r>
      <w:r>
        <w:rPr>
          <w:rStyle w:val="11"/>
          <w:rFonts w:hint="eastAsia" w:ascii="楷体" w:hAnsi="楷体" w:eastAsia="楷体" w:cs="楷体"/>
          <w:color w:val="000000" w:themeColor="text1"/>
          <w:sz w:val="28"/>
          <w:szCs w:val="28"/>
          <w14:textFill>
            <w14:solidFill>
              <w14:schemeClr w14:val="tx1"/>
            </w14:solidFill>
          </w14:textFill>
        </w:rPr>
        <w:t>（五）生源</w:t>
      </w:r>
      <w:r>
        <w:rPr>
          <w:rStyle w:val="11"/>
          <w:rFonts w:ascii="楷体" w:hAnsi="楷体" w:eastAsia="楷体" w:cs="楷体"/>
          <w:color w:val="000000" w:themeColor="text1"/>
          <w:sz w:val="28"/>
          <w:szCs w:val="28"/>
          <w14:textFill>
            <w14:solidFill>
              <w14:schemeClr w14:val="tx1"/>
            </w14:solidFill>
          </w14:textFill>
        </w:rPr>
        <w:tab/>
      </w:r>
      <w:r>
        <w:rPr>
          <w:rStyle w:val="11"/>
          <w:rFonts w:hint="eastAsia" w:ascii="楷体" w:hAnsi="楷体" w:eastAsia="楷体" w:cs="楷体"/>
          <w:color w:val="000000" w:themeColor="text1"/>
          <w:sz w:val="28"/>
          <w:szCs w:val="28"/>
          <w:lang w:val="en-US" w:eastAsia="zh-CN"/>
          <w14:textFill>
            <w14:solidFill>
              <w14:schemeClr w14:val="tx1"/>
            </w14:solidFill>
          </w14:textFill>
        </w:rPr>
        <w:t>19</w:t>
      </w:r>
      <w:r>
        <w:rPr>
          <w:rFonts w:hint="eastAsia" w:ascii="楷体" w:hAnsi="楷体" w:eastAsia="楷体" w:cs="楷体"/>
          <w:color w:val="000000" w:themeColor="text1"/>
          <w:sz w:val="28"/>
          <w:szCs w:val="28"/>
          <w:u w:val="none"/>
          <w14:textFill>
            <w14:solidFill>
              <w14:schemeClr w14:val="tx1"/>
            </w14:solidFill>
          </w14:textFill>
        </w:rPr>
        <w:fldChar w:fldCharType="end"/>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rFonts w:hint="eastAsia" w:ascii="楷体" w:hAnsi="楷体" w:eastAsia="楷体" w:cs="楷体"/>
          <w:color w:val="000000" w:themeColor="text1"/>
          <w:sz w:val="28"/>
          <w:szCs w:val="28"/>
          <w:u w:val="none"/>
          <w14:textFill>
            <w14:solidFill>
              <w14:schemeClr w14:val="tx1"/>
            </w14:solidFill>
          </w14:textFill>
        </w:rPr>
        <w:fldChar w:fldCharType="begin"/>
      </w:r>
      <w:r>
        <w:rPr>
          <w:rFonts w:hint="eastAsia" w:ascii="楷体" w:hAnsi="楷体" w:eastAsia="楷体" w:cs="楷体"/>
          <w:color w:val="000000" w:themeColor="text1"/>
          <w:sz w:val="28"/>
          <w:szCs w:val="28"/>
          <w:u w:val="none"/>
          <w14:textFill>
            <w14:solidFill>
              <w14:schemeClr w14:val="tx1"/>
            </w14:solidFill>
          </w14:textFill>
        </w:rPr>
        <w:instrText xml:space="preserve"> HYPERLINK \l "_（六）港澳台人员" </w:instrText>
      </w:r>
      <w:r>
        <w:rPr>
          <w:rFonts w:hint="eastAsia" w:ascii="楷体" w:hAnsi="楷体" w:eastAsia="楷体" w:cs="楷体"/>
          <w:color w:val="000000" w:themeColor="text1"/>
          <w:sz w:val="28"/>
          <w:szCs w:val="28"/>
          <w:u w:val="none"/>
          <w14:textFill>
            <w14:solidFill>
              <w14:schemeClr w14:val="tx1"/>
            </w14:solidFill>
          </w14:textFill>
        </w:rPr>
        <w:fldChar w:fldCharType="separate"/>
      </w:r>
      <w:r>
        <w:rPr>
          <w:rStyle w:val="11"/>
          <w:rFonts w:hint="eastAsia" w:ascii="楷体" w:hAnsi="楷体" w:eastAsia="楷体" w:cs="楷体"/>
          <w:color w:val="000000" w:themeColor="text1"/>
          <w:sz w:val="28"/>
          <w:szCs w:val="28"/>
          <w14:textFill>
            <w14:solidFill>
              <w14:schemeClr w14:val="tx1"/>
            </w14:solidFill>
          </w14:textFill>
        </w:rPr>
        <w:t>（六）港澳台人员</w:t>
      </w:r>
      <w:r>
        <w:rPr>
          <w:rStyle w:val="11"/>
          <w:rFonts w:ascii="楷体" w:hAnsi="楷体" w:eastAsia="楷体" w:cs="楷体"/>
          <w:color w:val="000000" w:themeColor="text1"/>
          <w:sz w:val="28"/>
          <w:szCs w:val="28"/>
          <w14:textFill>
            <w14:solidFill>
              <w14:schemeClr w14:val="tx1"/>
            </w14:solidFill>
          </w14:textFill>
        </w:rPr>
        <w:tab/>
      </w:r>
      <w:r>
        <w:rPr>
          <w:rStyle w:val="11"/>
          <w:rFonts w:hint="eastAsia" w:ascii="楷体" w:hAnsi="楷体" w:eastAsia="楷体" w:cs="楷体"/>
          <w:color w:val="000000" w:themeColor="text1"/>
          <w:sz w:val="28"/>
          <w:szCs w:val="28"/>
          <w:lang w:val="en-US" w:eastAsia="zh-CN"/>
          <w14:textFill>
            <w14:solidFill>
              <w14:schemeClr w14:val="tx1"/>
            </w14:solidFill>
          </w14:textFill>
        </w:rPr>
        <w:t>19</w:t>
      </w:r>
      <w:r>
        <w:rPr>
          <w:rFonts w:hint="eastAsia" w:ascii="楷体" w:hAnsi="楷体" w:eastAsia="楷体" w:cs="楷体"/>
          <w:color w:val="000000" w:themeColor="text1"/>
          <w:sz w:val="28"/>
          <w:szCs w:val="28"/>
          <w:u w:val="none"/>
          <w14:textFill>
            <w14:solidFill>
              <w14:schemeClr w14:val="tx1"/>
            </w14:solidFill>
          </w14:textFill>
        </w:rPr>
        <w:fldChar w:fldCharType="end"/>
      </w:r>
    </w:p>
    <w:p>
      <w:pPr>
        <w:pStyle w:val="18"/>
        <w:tabs>
          <w:tab w:val="right" w:leader="dot" w:pos="8306"/>
        </w:tabs>
        <w:spacing w:line="420" w:lineRule="exact"/>
        <w:rPr>
          <w:rFonts w:hint="eastAsia" w:ascii="楷体" w:hAnsi="楷体" w:eastAsia="楷体" w:cs="楷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"_Toc1416" </w:instrText>
      </w:r>
      <w:r>
        <w:rPr>
          <w:color w:val="000000" w:themeColor="text1"/>
          <w14:textFill>
            <w14:solidFill>
              <w14:schemeClr w14:val="tx1"/>
            </w14:solidFill>
          </w14:textFill>
        </w:rPr>
        <w:fldChar w:fldCharType="separate"/>
      </w:r>
      <w:r>
        <w:rPr>
          <w:rFonts w:hint="eastAsia" w:ascii="楷体" w:hAnsi="楷体" w:eastAsia="楷体" w:cs="楷体"/>
          <w:color w:val="000000" w:themeColor="text1"/>
          <w:sz w:val="28"/>
          <w:szCs w:val="28"/>
          <w14:textFill>
            <w14:solidFill>
              <w14:schemeClr w14:val="tx1"/>
            </w14:solidFill>
          </w14:textFill>
        </w:rPr>
        <w:t>（七）技工院校毕业生</w:t>
      </w:r>
      <w:r>
        <w:rPr>
          <w:rFonts w:ascii="楷体" w:hAnsi="楷体" w:eastAsia="楷体" w:cs="楷体"/>
          <w:color w:val="000000" w:themeColor="text1"/>
          <w:sz w:val="28"/>
          <w:szCs w:val="28"/>
          <w14:textFill>
            <w14:solidFill>
              <w14:schemeClr w14:val="tx1"/>
            </w14:solidFill>
          </w14:textFill>
        </w:rPr>
        <w:tab/>
      </w:r>
      <w:r>
        <w:rPr>
          <w:rFonts w:hint="eastAsia" w:ascii="楷体" w:hAnsi="楷体" w:eastAsia="楷体" w:cs="楷体"/>
          <w:color w:val="000000" w:themeColor="text1"/>
          <w:sz w:val="28"/>
          <w:szCs w:val="28"/>
          <w:lang w:val="en-US" w:eastAsia="zh-CN"/>
          <w14:textFill>
            <w14:solidFill>
              <w14:schemeClr w14:val="tx1"/>
            </w14:solidFill>
          </w14:textFill>
        </w:rPr>
        <w:t>2</w:t>
      </w:r>
      <w:r>
        <w:rPr>
          <w:rFonts w:ascii="楷体" w:hAnsi="楷体" w:eastAsia="楷体" w:cs="楷体"/>
          <w:color w:val="000000" w:themeColor="text1"/>
          <w:sz w:val="28"/>
          <w:szCs w:val="28"/>
          <w14:textFill>
            <w14:solidFill>
              <w14:schemeClr w14:val="tx1"/>
            </w14:solidFill>
          </w14:textFill>
        </w:rPr>
        <w:fldChar w:fldCharType="end"/>
      </w:r>
      <w:r>
        <w:rPr>
          <w:rFonts w:hint="eastAsia" w:ascii="楷体" w:hAnsi="楷体" w:eastAsia="楷体" w:cs="楷体"/>
          <w:color w:val="000000" w:themeColor="text1"/>
          <w:sz w:val="28"/>
          <w:szCs w:val="28"/>
          <w:lang w:val="en-US" w:eastAsia="zh-CN"/>
          <w14:textFill>
            <w14:solidFill>
              <w14:schemeClr w14:val="tx1"/>
            </w14:solidFill>
          </w14:textFill>
        </w:rPr>
        <w:t>0</w:t>
      </w:r>
    </w:p>
    <w:p>
      <w:pPr>
        <w:pStyle w:val="18"/>
        <w:tabs>
          <w:tab w:val="right" w:leader="dot" w:pos="8306"/>
        </w:tabs>
        <w:spacing w:line="420" w:lineRule="exact"/>
        <w:rPr>
          <w:rFonts w:hint="eastAsia" w:ascii="黑体" w:hAnsi="黑体" w:eastAsia="黑体" w:cs="黑体"/>
          <w:color w:val="000000" w:themeColor="text1"/>
          <w:sz w:val="28"/>
          <w:szCs w:val="28"/>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"_Toc16887" </w:instrText>
      </w:r>
      <w:r>
        <w:rPr>
          <w:color w:val="000000" w:themeColor="text1"/>
          <w14:textFill>
            <w14:solidFill>
              <w14:schemeClr w14:val="tx1"/>
            </w14:solidFill>
          </w14:textFill>
        </w:rPr>
        <w:fldChar w:fldCharType="separate"/>
      </w:r>
      <w:r>
        <w:rPr>
          <w:rFonts w:hint="eastAsia" w:ascii="黑体" w:hAnsi="黑体" w:eastAsia="黑体" w:cs="黑体"/>
          <w:color w:val="000000" w:themeColor="text1"/>
          <w:sz w:val="28"/>
          <w:szCs w:val="28"/>
          <w14:textFill>
            <w14:solidFill>
              <w14:schemeClr w14:val="tx1"/>
            </w14:solidFill>
          </w14:textFill>
        </w:rPr>
        <w:t>十</w:t>
      </w:r>
      <w:r>
        <w:rPr>
          <w:rFonts w:hint="eastAsia" w:ascii="黑体" w:hAnsi="黑体" w:eastAsia="黑体" w:cs="黑体"/>
          <w:color w:val="000000" w:themeColor="text1"/>
          <w:sz w:val="28"/>
          <w:szCs w:val="28"/>
          <w:lang w:eastAsia="zh-CN"/>
          <w14:textFill>
            <w14:solidFill>
              <w14:schemeClr w14:val="tx1"/>
            </w14:solidFill>
          </w14:textFill>
        </w:rPr>
        <w:t>四</w:t>
      </w:r>
      <w:r>
        <w:rPr>
          <w:rFonts w:hint="eastAsia" w:ascii="黑体" w:hAnsi="黑体" w:eastAsia="黑体" w:cs="黑体"/>
          <w:color w:val="000000" w:themeColor="text1"/>
          <w:sz w:val="28"/>
          <w:szCs w:val="28"/>
          <w14:textFill>
            <w14:solidFill>
              <w14:schemeClr w14:val="tx1"/>
            </w14:solidFill>
          </w14:textFill>
        </w:rPr>
        <w:t>、疫情防控要求</w:t>
      </w:r>
      <w:r>
        <w:rPr>
          <w:rFonts w:ascii="黑体" w:hAnsi="黑体" w:eastAsia="黑体" w:cs="黑体"/>
          <w:color w:val="000000" w:themeColor="text1"/>
          <w:sz w:val="28"/>
          <w:szCs w:val="28"/>
          <w14:textFill>
            <w14:solidFill>
              <w14:schemeClr w14:val="tx1"/>
            </w14:solidFill>
          </w14:textFill>
        </w:rPr>
        <w:tab/>
      </w:r>
      <w:r>
        <w:rPr>
          <w:rFonts w:ascii="黑体" w:hAnsi="黑体" w:eastAsia="黑体" w:cs="黑体"/>
          <w:color w:val="000000" w:themeColor="text1"/>
          <w:sz w:val="28"/>
          <w:szCs w:val="28"/>
          <w14:textFill>
            <w14:solidFill>
              <w14:schemeClr w14:val="tx1"/>
            </w14:solidFill>
          </w14:textFill>
        </w:rPr>
        <w:fldChar w:fldCharType="begin"/>
      </w:r>
      <w:r>
        <w:rPr>
          <w:rFonts w:ascii="黑体" w:hAnsi="黑体" w:eastAsia="黑体" w:cs="黑体"/>
          <w:color w:val="000000" w:themeColor="text1"/>
          <w:sz w:val="28"/>
          <w:szCs w:val="28"/>
          <w14:textFill>
            <w14:solidFill>
              <w14:schemeClr w14:val="tx1"/>
            </w14:solidFill>
          </w14:textFill>
        </w:rPr>
        <w:instrText xml:space="preserve"> PAGEREF _Toc16887 \h </w:instrText>
      </w:r>
      <w:r>
        <w:rPr>
          <w:rFonts w:ascii="黑体" w:hAnsi="黑体" w:eastAsia="黑体" w:cs="黑体"/>
          <w:color w:val="000000" w:themeColor="text1"/>
          <w:sz w:val="28"/>
          <w:szCs w:val="28"/>
          <w14:textFill>
            <w14:solidFill>
              <w14:schemeClr w14:val="tx1"/>
            </w14:solidFill>
          </w14:textFill>
        </w:rPr>
        <w:fldChar w:fldCharType="separate"/>
      </w:r>
      <w:r>
        <w:rPr>
          <w:rFonts w:ascii="黑体" w:hAnsi="黑体" w:eastAsia="黑体" w:cs="黑体"/>
          <w:color w:val="000000" w:themeColor="text1"/>
          <w:sz w:val="28"/>
          <w:szCs w:val="28"/>
          <w14:textFill>
            <w14:solidFill>
              <w14:schemeClr w14:val="tx1"/>
            </w14:solidFill>
          </w14:textFill>
        </w:rPr>
        <w:t>20</w:t>
      </w:r>
      <w:r>
        <w:rPr>
          <w:rFonts w:ascii="黑体" w:hAnsi="黑体" w:eastAsia="黑体" w:cs="黑体"/>
          <w:color w:val="000000" w:themeColor="text1"/>
          <w:sz w:val="28"/>
          <w:szCs w:val="28"/>
          <w14:textFill>
            <w14:solidFill>
              <w14:schemeClr w14:val="tx1"/>
            </w14:solidFill>
          </w14:textFill>
        </w:rPr>
        <w:fldChar w:fldCharType="end"/>
      </w:r>
      <w:r>
        <w:rPr>
          <w:rFonts w:ascii="黑体" w:hAnsi="黑体" w:eastAsia="黑体" w:cs="黑体"/>
          <w:color w:val="000000" w:themeColor="text1"/>
          <w:sz w:val="28"/>
          <w:szCs w:val="28"/>
          <w14:textFill>
            <w14:solidFill>
              <w14:schemeClr w14:val="tx1"/>
            </w14:solidFill>
          </w14:textFill>
        </w:rPr>
        <w:fldChar w:fldCharType="end"/>
      </w:r>
    </w:p>
    <w:p>
      <w:pPr>
        <w:spacing w:line="420" w:lineRule="exact"/>
        <w:ind w:firstLine="560" w:firstLineChars="200"/>
        <w:rPr>
          <w:rFonts w:ascii="??_GB2312" w:eastAsia="Times New Roman"/>
          <w:color w:val="000000" w:themeColor="text1"/>
          <w:sz w:val="32"/>
          <w:szCs w:val="32"/>
          <w14:textFill>
            <w14:solidFill>
              <w14:schemeClr w14:val="tx1"/>
            </w14:solidFill>
          </w14:textFill>
        </w:rPr>
      </w:pPr>
      <w:r>
        <w:rPr>
          <w:rFonts w:ascii="黑体" w:hAnsi="黑体" w:eastAsia="黑体" w:cs="黑体"/>
          <w:color w:val="000000" w:themeColor="text1"/>
          <w:sz w:val="28"/>
          <w:szCs w:val="28"/>
          <w14:textFill>
            <w14:solidFill>
              <w14:schemeClr w14:val="tx1"/>
            </w14:solidFill>
          </w14:textFill>
        </w:rPr>
        <w:fldChar w:fldCharType="end"/>
      </w:r>
    </w:p>
    <w:p>
      <w:pPr>
        <w:spacing w:line="420" w:lineRule="exact"/>
        <w:ind w:firstLine="640" w:firstLineChars="200"/>
        <w:rPr>
          <w:rFonts w:ascii="??_GB2312" w:eastAsia="Times New Roman"/>
          <w:color w:val="000000" w:themeColor="text1"/>
          <w:sz w:val="32"/>
          <w:szCs w:val="32"/>
          <w14:textFill>
            <w14:solidFill>
              <w14:schemeClr w14:val="tx1"/>
            </w14:solidFill>
          </w14:textFill>
        </w:rPr>
      </w:pPr>
    </w:p>
    <w:p>
      <w:pPr>
        <w:ind w:firstLine="640" w:firstLineChars="200"/>
        <w:rPr>
          <w:rFonts w:ascii="??_GB2312" w:eastAsia="Times New Roman"/>
          <w:color w:val="000000" w:themeColor="text1"/>
          <w:sz w:val="32"/>
          <w:szCs w:val="32"/>
          <w14:textFill>
            <w14:solidFill>
              <w14:schemeClr w14:val="tx1"/>
            </w14:solidFill>
          </w14:textFill>
        </w:rPr>
      </w:pPr>
    </w:p>
    <w:p>
      <w:pPr>
        <w:ind w:firstLine="640" w:firstLineChars="200"/>
        <w:rPr>
          <w:rFonts w:ascii="??_GB2312" w:eastAsia="Times New Roman"/>
          <w:color w:val="000000" w:themeColor="text1"/>
          <w:sz w:val="32"/>
          <w:szCs w:val="32"/>
          <w14:textFill>
            <w14:solidFill>
              <w14:schemeClr w14:val="tx1"/>
            </w14:solidFill>
          </w14:textFill>
        </w:rPr>
      </w:pPr>
    </w:p>
    <w:p>
      <w:pPr>
        <w:ind w:firstLine="640" w:firstLineChars="200"/>
        <w:rPr>
          <w:rFonts w:ascii="??_GB2312" w:eastAsia="Times New Roman"/>
          <w:color w:val="000000" w:themeColor="text1"/>
          <w:sz w:val="32"/>
          <w:szCs w:val="32"/>
          <w14:textFill>
            <w14:solidFill>
              <w14:schemeClr w14:val="tx1"/>
            </w14:solidFill>
          </w14:textFill>
        </w:rPr>
      </w:pPr>
    </w:p>
    <w:p>
      <w:pPr>
        <w:ind w:firstLine="640" w:firstLineChars="200"/>
        <w:rPr>
          <w:rFonts w:ascii="??_GB2312" w:eastAsia="Times New Roman"/>
          <w:color w:val="000000" w:themeColor="text1"/>
          <w:sz w:val="32"/>
          <w:szCs w:val="32"/>
          <w14:textFill>
            <w14:solidFill>
              <w14:schemeClr w14:val="tx1"/>
            </w14:solidFill>
          </w14:textFill>
        </w:rPr>
        <w:sectPr>
          <w:footerReference r:id="rId3" w:type="default"/>
          <w:pgSz w:w="11906" w:h="16838"/>
          <w:pgMar w:top="1440" w:right="1800" w:bottom="1440" w:left="1800" w:header="851" w:footer="992" w:gutter="0"/>
          <w:pgNumType w:start="1"/>
          <w:cols w:space="0" w:num="1"/>
          <w:docGrid w:type="lines" w:linePitch="312" w:charSpace="0"/>
        </w:sectPr>
      </w:pPr>
    </w:p>
    <w:p>
      <w:pPr>
        <w:ind w:firstLine="640" w:firstLineChars="200"/>
        <w:rPr>
          <w:rFonts w:ascii="??_GB2312" w:eastAsia="Times New Roman"/>
          <w:b/>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本指南仅适用于</w:t>
      </w:r>
      <w:r>
        <w:rPr>
          <w:rFonts w:hint="eastAsia" w:ascii="??_GB2312"/>
          <w:color w:val="000000" w:themeColor="text1"/>
          <w:sz w:val="32"/>
          <w:szCs w:val="32"/>
          <w:lang w:eastAsia="zh-CN"/>
          <w14:textFill>
            <w14:solidFill>
              <w14:schemeClr w14:val="tx1"/>
            </w14:solidFill>
          </w14:textFill>
        </w:rPr>
        <w:t>厦门医学院附属第二医院、附属口腔医院</w:t>
      </w:r>
      <w:r>
        <w:rPr>
          <w:rFonts w:ascii="??_GB2312" w:eastAsia="Times New Roman"/>
          <w:color w:val="000000" w:themeColor="text1"/>
          <w:sz w:val="32"/>
          <w:szCs w:val="32"/>
          <w14:textFill>
            <w14:solidFill>
              <w14:schemeClr w14:val="tx1"/>
            </w14:solidFill>
          </w14:textFill>
        </w:rPr>
        <w:t>补充编内工作人员招聘考试（2021年4月），由</w:t>
      </w:r>
      <w:r>
        <w:rPr>
          <w:rFonts w:hint="eastAsia" w:ascii="??_GB2312"/>
          <w:color w:val="000000" w:themeColor="text1"/>
          <w:sz w:val="32"/>
          <w:szCs w:val="32"/>
          <w:lang w:eastAsia="zh-CN"/>
          <w14:textFill>
            <w14:solidFill>
              <w14:schemeClr w14:val="tx1"/>
            </w14:solidFill>
          </w14:textFill>
        </w:rPr>
        <w:t>厦门医学院</w:t>
      </w:r>
      <w:r>
        <w:rPr>
          <w:rFonts w:ascii="??_GB2312" w:eastAsia="Times New Roman"/>
          <w:color w:val="000000" w:themeColor="text1"/>
          <w:sz w:val="32"/>
          <w:szCs w:val="32"/>
          <w14:textFill>
            <w14:solidFill>
              <w14:schemeClr w14:val="tx1"/>
            </w14:solidFill>
          </w14:textFill>
        </w:rPr>
        <w:t>解释。</w:t>
      </w:r>
    </w:p>
    <w:p>
      <w:pPr>
        <w:pStyle w:val="2"/>
        <w:rPr>
          <w:rFonts w:ascii="黑体" w:hAnsi="黑体" w:eastAsia="黑体" w:cs="黑体"/>
          <w:color w:val="000000" w:themeColor="text1"/>
          <w:sz w:val="32"/>
          <w:szCs w:val="32"/>
          <w14:textFill>
            <w14:solidFill>
              <w14:schemeClr w14:val="tx1"/>
            </w14:solidFill>
          </w14:textFill>
        </w:rPr>
      </w:pPr>
      <w:bookmarkStart w:id="1" w:name="_Toc26791"/>
      <w:bookmarkStart w:id="2" w:name="_Toc14381"/>
      <w:bookmarkStart w:id="3" w:name="_Toc23801"/>
      <w:bookmarkStart w:id="4" w:name="_Toc3629"/>
      <w:bookmarkStart w:id="5" w:name="_Toc10459"/>
      <w:bookmarkStart w:id="6" w:name="_Toc14912"/>
      <w:r>
        <w:rPr>
          <w:rFonts w:hint="eastAsia" w:ascii="黑体" w:hAnsi="黑体" w:eastAsia="黑体" w:cs="黑体"/>
          <w:color w:val="000000" w:themeColor="text1"/>
          <w:sz w:val="32"/>
          <w:szCs w:val="32"/>
          <w14:textFill>
            <w14:solidFill>
              <w14:schemeClr w14:val="tx1"/>
            </w14:solidFill>
          </w14:textFill>
        </w:rPr>
        <w:t>一、基本条件</w:t>
      </w:r>
      <w:bookmarkEnd w:id="1"/>
      <w:bookmarkEnd w:id="2"/>
      <w:bookmarkEnd w:id="3"/>
      <w:bookmarkEnd w:id="4"/>
      <w:bookmarkEnd w:id="5"/>
      <w:bookmarkEnd w:id="6"/>
    </w:p>
    <w:p>
      <w:pPr>
        <w:ind w:firstLine="640" w:firstLineChars="200"/>
        <w:rPr>
          <w:rFonts w:ascii="??_GB2312" w:eastAsia="Times New Roman"/>
          <w:color w:val="000000" w:themeColor="text1"/>
          <w:sz w:val="32"/>
          <w:szCs w:val="32"/>
          <w14:textFill>
            <w14:solidFill>
              <w14:schemeClr w14:val="tx1"/>
            </w14:solidFill>
          </w14:textFill>
        </w:rPr>
      </w:pPr>
      <w:bookmarkStart w:id="7" w:name="_Toc9119_WPSOffice_Level2"/>
      <w:bookmarkStart w:id="8" w:name="_Toc19262_WPSOffice_Level2"/>
      <w:bookmarkStart w:id="9" w:name="_Toc17638_WPSOffice_Level2"/>
      <w:bookmarkStart w:id="10" w:name="_Toc29243_WPSOffice_Level2"/>
      <w:r>
        <w:rPr>
          <w:rFonts w:ascii="??_GB2312" w:eastAsia="Times New Roman"/>
          <w:color w:val="000000" w:themeColor="text1"/>
          <w:sz w:val="32"/>
          <w:szCs w:val="32"/>
          <w14:textFill>
            <w14:solidFill>
              <w14:schemeClr w14:val="tx1"/>
            </w14:solidFill>
          </w14:textFill>
        </w:rPr>
        <w:t>（一）具有中华人民共和国国籍；</w:t>
      </w:r>
      <w:bookmarkEnd w:id="7"/>
      <w:bookmarkEnd w:id="8"/>
      <w:bookmarkEnd w:id="9"/>
      <w:bookmarkEnd w:id="10"/>
    </w:p>
    <w:p>
      <w:pPr>
        <w:ind w:firstLine="640" w:firstLineChars="200"/>
        <w:rPr>
          <w:rFonts w:ascii="??_GB2312" w:eastAsia="Times New Roman"/>
          <w:color w:val="000000" w:themeColor="text1"/>
          <w:sz w:val="32"/>
          <w:szCs w:val="32"/>
          <w14:textFill>
            <w14:solidFill>
              <w14:schemeClr w14:val="tx1"/>
            </w14:solidFill>
          </w14:textFill>
        </w:rPr>
      </w:pPr>
      <w:bookmarkStart w:id="11" w:name="_Toc12392_WPSOffice_Level2"/>
      <w:bookmarkStart w:id="12" w:name="_Toc17350_WPSOffice_Level2"/>
      <w:bookmarkStart w:id="13" w:name="_Toc4207_WPSOffice_Level2"/>
      <w:bookmarkStart w:id="14" w:name="_Toc11941_WPSOffice_Level2"/>
      <w:r>
        <w:rPr>
          <w:rFonts w:ascii="??_GB2312" w:eastAsia="Times New Roman"/>
          <w:color w:val="000000" w:themeColor="text1"/>
          <w:sz w:val="32"/>
          <w:szCs w:val="32"/>
          <w14:textFill>
            <w14:solidFill>
              <w14:schemeClr w14:val="tx1"/>
            </w14:solidFill>
          </w14:textFill>
        </w:rPr>
        <w:t>（二）拥护中华人民共和国宪法</w:t>
      </w:r>
      <w:r>
        <w:rPr>
          <w:rFonts w:hint="eastAsia" w:ascii="??_GB2312" w:eastAsia="Times New Roman"/>
          <w:color w:val="000000" w:themeColor="text1"/>
          <w:sz w:val="32"/>
          <w:szCs w:val="32"/>
          <w14:textFill>
            <w14:solidFill>
              <w14:schemeClr w14:val="tx1"/>
            </w14:solidFill>
          </w14:textFill>
        </w:rPr>
        <w:t>，</w:t>
      </w:r>
      <w:r>
        <w:rPr>
          <w:rFonts w:ascii="??_GB2312" w:eastAsia="Times New Roman"/>
          <w:color w:val="000000" w:themeColor="text1"/>
          <w:sz w:val="32"/>
          <w:szCs w:val="32"/>
          <w14:textFill>
            <w14:solidFill>
              <w14:schemeClr w14:val="tx1"/>
            </w14:solidFill>
          </w14:textFill>
        </w:rPr>
        <w:t>拥护中国共产党领导和社会主义制度；</w:t>
      </w:r>
      <w:bookmarkEnd w:id="11"/>
      <w:bookmarkEnd w:id="12"/>
      <w:bookmarkEnd w:id="13"/>
      <w:bookmarkEnd w:id="14"/>
    </w:p>
    <w:p>
      <w:pPr>
        <w:ind w:firstLine="640" w:firstLineChars="200"/>
        <w:rPr>
          <w:rFonts w:ascii="??_GB2312" w:eastAsia="Times New Roman"/>
          <w:color w:val="000000" w:themeColor="text1"/>
          <w:sz w:val="32"/>
          <w:szCs w:val="32"/>
          <w14:textFill>
            <w14:solidFill>
              <w14:schemeClr w14:val="tx1"/>
            </w14:solidFill>
          </w14:textFill>
        </w:rPr>
      </w:pPr>
      <w:bookmarkStart w:id="15" w:name="_Toc6014_WPSOffice_Level2"/>
      <w:bookmarkStart w:id="16" w:name="_Toc7847_WPSOffice_Level2"/>
      <w:bookmarkStart w:id="17" w:name="_Toc9634_WPSOffice_Level2"/>
      <w:bookmarkStart w:id="18" w:name="_Toc20094_WPSOffice_Level2"/>
      <w:r>
        <w:rPr>
          <w:rFonts w:ascii="??_GB2312" w:eastAsia="Times New Roman"/>
          <w:color w:val="000000" w:themeColor="text1"/>
          <w:sz w:val="32"/>
          <w:szCs w:val="32"/>
          <w14:textFill>
            <w14:solidFill>
              <w14:schemeClr w14:val="tx1"/>
            </w14:solidFill>
          </w14:textFill>
        </w:rPr>
        <w:t>（三）</w:t>
      </w:r>
      <w:bookmarkEnd w:id="15"/>
      <w:bookmarkEnd w:id="16"/>
      <w:bookmarkEnd w:id="17"/>
      <w:bookmarkEnd w:id="18"/>
      <w:r>
        <w:rPr>
          <w:rFonts w:ascii="??_GB2312" w:eastAsia="Times New Roman"/>
          <w:color w:val="000000" w:themeColor="text1"/>
          <w:sz w:val="32"/>
          <w:szCs w:val="32"/>
          <w14:textFill>
            <w14:solidFill>
              <w14:schemeClr w14:val="tx1"/>
            </w14:solidFill>
          </w14:textFill>
        </w:rPr>
        <w:t>热爱卫生健康事业，具有良好的政治素质和职业道德；</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（四）具有正常履行职责的身体条件和心理素质；</w:t>
      </w:r>
    </w:p>
    <w:p>
      <w:pPr>
        <w:ind w:firstLine="640" w:firstLineChars="200"/>
        <w:rPr>
          <w:rFonts w:ascii="??_GB2312" w:eastAsia="Times New Roman"/>
          <w:color w:val="000000" w:themeColor="text1"/>
          <w:sz w:val="32"/>
          <w:szCs w:val="32"/>
          <w14:textFill>
            <w14:solidFill>
              <w14:schemeClr w14:val="tx1"/>
            </w14:solidFill>
          </w14:textFill>
        </w:rPr>
      </w:pPr>
      <w:bookmarkStart w:id="19" w:name="_Toc26060_WPSOffice_Level2"/>
      <w:bookmarkStart w:id="20" w:name="_Toc4758_WPSOffice_Level2"/>
      <w:bookmarkStart w:id="21" w:name="_Toc19929_WPSOffice_Level2"/>
      <w:bookmarkStart w:id="22" w:name="_Toc10788_WPSOffice_Level2"/>
      <w:r>
        <w:rPr>
          <w:rFonts w:ascii="??_GB2312" w:eastAsia="Times New Roman"/>
          <w:color w:val="000000" w:themeColor="text1"/>
          <w:sz w:val="32"/>
          <w:szCs w:val="32"/>
          <w14:textFill>
            <w14:solidFill>
              <w14:schemeClr w14:val="tx1"/>
            </w14:solidFill>
          </w14:textFill>
        </w:rPr>
        <w:t>（五）具备招聘岗位设置的资格条件。</w:t>
      </w:r>
      <w:bookmarkEnd w:id="19"/>
      <w:bookmarkEnd w:id="20"/>
      <w:bookmarkEnd w:id="21"/>
      <w:bookmarkEnd w:id="22"/>
    </w:p>
    <w:p>
      <w:pPr>
        <w:pStyle w:val="2"/>
        <w:rPr>
          <w:rFonts w:ascii="黑体" w:hAnsi="黑体" w:eastAsia="黑体" w:cs="黑体"/>
          <w:color w:val="000000" w:themeColor="text1"/>
          <w:sz w:val="32"/>
          <w:szCs w:val="32"/>
          <w14:textFill>
            <w14:solidFill>
              <w14:schemeClr w14:val="tx1"/>
            </w14:solidFill>
          </w14:textFill>
        </w:rPr>
      </w:pPr>
      <w:bookmarkStart w:id="23" w:name="_Toc20470"/>
      <w:bookmarkStart w:id="24" w:name="_Toc25192"/>
      <w:bookmarkStart w:id="25" w:name="_Toc22673"/>
      <w:bookmarkStart w:id="26" w:name="_Toc24502"/>
      <w:bookmarkStart w:id="27" w:name="_Toc25850"/>
      <w:bookmarkStart w:id="28" w:name="_Toc5197"/>
      <w:bookmarkStart w:id="29" w:name="_Toc3363"/>
      <w:r>
        <w:rPr>
          <w:rFonts w:hint="eastAsia" w:ascii="黑体" w:hAnsi="黑体" w:eastAsia="黑体" w:cs="黑体"/>
          <w:color w:val="000000" w:themeColor="text1"/>
          <w:sz w:val="32"/>
          <w:szCs w:val="32"/>
          <w14:textFill>
            <w14:solidFill>
              <w14:schemeClr w14:val="tx1"/>
            </w14:solidFill>
          </w14:textFill>
        </w:rPr>
        <w:t>二、不得报考或取消报考（聘用）资格的情形</w:t>
      </w:r>
      <w:bookmarkEnd w:id="23"/>
      <w:bookmarkEnd w:id="24"/>
      <w:bookmarkEnd w:id="25"/>
      <w:bookmarkEnd w:id="26"/>
      <w:bookmarkEnd w:id="27"/>
      <w:bookmarkEnd w:id="28"/>
      <w:bookmarkEnd w:id="29"/>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（一）曾因犯罪受过刑事处罚的；</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（二）曾被开除公职的；</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（三）涉嫌违法犯罪正在接受司法调查尚未做出结论的，或尚未解除党（政）纪处分的，或正在接受纪律审查的;</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（四）工作期间曾发生医疗事故负有主要责任的；</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（五）公务员或参照公务员法管理机关（单位）工作人员（以下简称“参公人员”）被辞退未满5年的；</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（六）考录（不含转任）后服务年限（含试用期）不满2年以及未达到与当地公务员主管部门或单位组织人事部门约定服务年限的公务员和参公人员；</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（七）报名时不是试用期内公务员或参公人员，但在报名之后、聘用之前成为试用期内公务员或参公人员的；</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（八）现役军人；</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（九）普通高等院校全日制在读的非应届毕业生（即2022年及以后才学业期满的全日制普通教育学生）；</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（十）聘用后即构成应回避关系的；</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（十</w:t>
      </w:r>
      <w:r>
        <w:rPr>
          <w:rFonts w:hint="eastAsia" w:ascii="??_GB2312" w:eastAsia="Times New Roman"/>
          <w:color w:val="000000" w:themeColor="text1"/>
          <w:sz w:val="32"/>
          <w:szCs w:val="32"/>
          <w14:textFill>
            <w14:solidFill>
              <w14:schemeClr w14:val="tx1"/>
            </w14:solidFill>
          </w14:textFill>
        </w:rPr>
        <w:t>一</w:t>
      </w:r>
      <w:r>
        <w:rPr>
          <w:rFonts w:ascii="??_GB2312" w:eastAsia="Times New Roman"/>
          <w:color w:val="000000" w:themeColor="text1"/>
          <w:sz w:val="32"/>
          <w:szCs w:val="32"/>
          <w14:textFill>
            <w14:solidFill>
              <w14:schemeClr w14:val="tx1"/>
            </w14:solidFill>
          </w14:textFill>
        </w:rPr>
        <w:t>）根据原福建省卫生计生委等六部门《关于印发&lt;完善福建省住院医师规范化培训制度的实施意见&gt;的通知》（闽卫科教〔2015〕107号）和《福建省卫生计生委关于印发福建省住院医师规范化培训实施方案的通知》（闽卫科教〔2016〕83号）精神：凡是以单位人身份进入住院医师规范化培训的人员或以单位人身份正在接受住院医师规范化培训的人员，在培训期间及培训结束（含终止培训或退出培训）后3年内不得报考培训基地所在单位的任何招聘岗位;</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（十</w:t>
      </w:r>
      <w:r>
        <w:rPr>
          <w:rFonts w:hint="eastAsia" w:ascii="??_GB2312" w:eastAsia="Times New Roman"/>
          <w:color w:val="000000" w:themeColor="text1"/>
          <w:sz w:val="32"/>
          <w:szCs w:val="32"/>
          <w14:textFill>
            <w14:solidFill>
              <w14:schemeClr w14:val="tx1"/>
            </w14:solidFill>
          </w14:textFill>
        </w:rPr>
        <w:t>二</w:t>
      </w:r>
      <w:r>
        <w:rPr>
          <w:rFonts w:ascii="??_GB2312" w:eastAsia="Times New Roman"/>
          <w:color w:val="000000" w:themeColor="text1"/>
          <w:sz w:val="32"/>
          <w:szCs w:val="32"/>
          <w14:textFill>
            <w14:solidFill>
              <w14:schemeClr w14:val="tx1"/>
            </w14:solidFill>
          </w14:textFill>
        </w:rPr>
        <w:t>）法律法规规章规定不得聘为事业单位人员的。</w:t>
      </w:r>
    </w:p>
    <w:p>
      <w:pPr>
        <w:pStyle w:val="2"/>
        <w:rPr>
          <w:rFonts w:ascii="黑体" w:hAnsi="黑体" w:eastAsia="黑体" w:cs="黑体"/>
          <w:color w:val="000000" w:themeColor="text1"/>
          <w:sz w:val="32"/>
          <w:szCs w:val="32"/>
          <w14:textFill>
            <w14:solidFill>
              <w14:schemeClr w14:val="tx1"/>
            </w14:solidFill>
          </w14:textFill>
        </w:rPr>
      </w:pPr>
      <w:bookmarkStart w:id="30" w:name="_Toc6005"/>
      <w:bookmarkStart w:id="31" w:name="_Toc27877"/>
      <w:bookmarkStart w:id="32" w:name="_Toc28345"/>
      <w:bookmarkStart w:id="33" w:name="_Toc14770"/>
      <w:bookmarkStart w:id="34" w:name="_Toc24432"/>
      <w:bookmarkStart w:id="35" w:name="_Toc32418"/>
      <w:bookmarkStart w:id="36" w:name="_Toc9365"/>
      <w:r>
        <w:rPr>
          <w:rFonts w:hint="eastAsia" w:ascii="黑体" w:hAnsi="黑体" w:eastAsia="黑体" w:cs="黑体"/>
          <w:color w:val="000000" w:themeColor="text1"/>
          <w:sz w:val="32"/>
          <w:szCs w:val="32"/>
          <w14:textFill>
            <w14:solidFill>
              <w14:schemeClr w14:val="tx1"/>
            </w14:solidFill>
          </w14:textFill>
        </w:rPr>
        <w:t>三、选报岗位须知</w:t>
      </w:r>
      <w:bookmarkEnd w:id="30"/>
      <w:bookmarkEnd w:id="31"/>
      <w:bookmarkEnd w:id="32"/>
      <w:bookmarkEnd w:id="33"/>
      <w:bookmarkEnd w:id="34"/>
      <w:bookmarkEnd w:id="35"/>
      <w:bookmarkEnd w:id="36"/>
      <w:bookmarkStart w:id="37" w:name="_Toc2901"/>
      <w:bookmarkStart w:id="38" w:name="_Toc25581"/>
      <w:bookmarkStart w:id="39" w:name="_Toc9596"/>
    </w:p>
    <w:bookmarkEnd w:id="37"/>
    <w:bookmarkEnd w:id="38"/>
    <w:bookmarkEnd w:id="39"/>
    <w:p>
      <w:pPr>
        <w:pStyle w:val="2"/>
        <w:rPr>
          <w:rFonts w:ascii="楷体" w:hAnsi="楷体" w:eastAsia="楷体" w:cs="楷体"/>
          <w:color w:val="000000" w:themeColor="text1"/>
          <w:sz w:val="32"/>
          <w:szCs w:val="32"/>
          <w14:textFill>
            <w14:solidFill>
              <w14:schemeClr w14:val="tx1"/>
            </w14:solidFill>
          </w14:textFill>
        </w:rPr>
      </w:pPr>
      <w:bookmarkStart w:id="40" w:name="_Toc20515"/>
      <w:bookmarkStart w:id="41" w:name="_Toc8174"/>
      <w:bookmarkStart w:id="42" w:name="_Toc20139"/>
      <w:bookmarkStart w:id="43" w:name="_Toc18587"/>
      <w:bookmarkStart w:id="44" w:name="_Toc7637"/>
      <w:bookmarkStart w:id="45" w:name="_Toc31635"/>
      <w:bookmarkStart w:id="46" w:name="_Toc3161"/>
      <w:r>
        <w:rPr>
          <w:rFonts w:hint="eastAsia" w:ascii="楷体" w:hAnsi="楷体" w:eastAsia="楷体" w:cs="楷体"/>
          <w:color w:val="000000" w:themeColor="text1"/>
          <w:sz w:val="32"/>
          <w:szCs w:val="32"/>
          <w14:textFill>
            <w14:solidFill>
              <w14:schemeClr w14:val="tx1"/>
            </w14:solidFill>
          </w14:textFill>
        </w:rPr>
        <w:t>（一）照片</w:t>
      </w:r>
      <w:bookmarkEnd w:id="40"/>
      <w:bookmarkEnd w:id="41"/>
      <w:bookmarkEnd w:id="42"/>
      <w:bookmarkEnd w:id="43"/>
      <w:bookmarkEnd w:id="44"/>
      <w:bookmarkEnd w:id="45"/>
      <w:r>
        <w:rPr>
          <w:rFonts w:hint="eastAsia" w:ascii="楷体" w:hAnsi="楷体" w:eastAsia="楷体" w:cs="楷体"/>
          <w:color w:val="000000" w:themeColor="text1"/>
          <w:sz w:val="32"/>
          <w:szCs w:val="32"/>
          <w14:textFill>
            <w14:solidFill>
              <w14:schemeClr w14:val="tx1"/>
            </w14:solidFill>
          </w14:textFill>
        </w:rPr>
        <w:t>要求</w:t>
      </w:r>
      <w:bookmarkEnd w:id="46"/>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报考者应在报名时提交近期正面免冠二寸彩色数码证件照（jpg格式，规格200K以下）。以下为常见不合格照片：①着制式服装照；②着帽子或太醒目、夸张首饰等；③模糊不清晰的；④眼镜反光的；⑤明显不是个人照片的（如风景照、名人照等）；⑥随意自拍的半身照，全身照等无法看清楚脸的；⑦头发刘海遮挡面大的；⑧照片比例变形的；⑨手持证件的照片；⑩其他难以清晰辨认的。</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报考者因未在时限内提交合格照片造成无法打印准考证的，视为自动放弃考试资格。</w:t>
      </w:r>
      <w:bookmarkStart w:id="47" w:name="_Toc1624"/>
      <w:bookmarkStart w:id="48" w:name="_Toc16906"/>
      <w:bookmarkStart w:id="49" w:name="_Toc21891"/>
    </w:p>
    <w:p>
      <w:pPr>
        <w:pStyle w:val="2"/>
        <w:rPr>
          <w:rFonts w:ascii="楷体" w:hAnsi="楷体" w:eastAsia="楷体" w:cs="楷体"/>
          <w:color w:val="000000" w:themeColor="text1"/>
          <w:sz w:val="32"/>
          <w:szCs w:val="32"/>
          <w14:textFill>
            <w14:solidFill>
              <w14:schemeClr w14:val="tx1"/>
            </w14:solidFill>
          </w14:textFill>
        </w:rPr>
      </w:pPr>
      <w:bookmarkStart w:id="50" w:name="_Toc25424"/>
      <w:bookmarkStart w:id="51" w:name="_Toc308"/>
      <w:r>
        <w:rPr>
          <w:rFonts w:hint="eastAsia" w:ascii="楷体" w:hAnsi="楷体" w:eastAsia="楷体" w:cs="楷体"/>
          <w:color w:val="000000" w:themeColor="text1"/>
          <w:sz w:val="32"/>
          <w:szCs w:val="32"/>
          <w14:textFill>
            <w14:solidFill>
              <w14:schemeClr w14:val="tx1"/>
            </w14:solidFill>
          </w14:textFill>
        </w:rPr>
        <w:t>（二）回避情形</w:t>
      </w:r>
      <w:bookmarkEnd w:id="47"/>
      <w:bookmarkEnd w:id="48"/>
      <w:bookmarkEnd w:id="49"/>
      <w:bookmarkEnd w:id="50"/>
      <w:bookmarkEnd w:id="51"/>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1.夫妻关系;</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2.直系血亲关系，包括祖父母、外祖父母、父母、子女、孙子女、外孙子女;</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3.三代以内旁系血亲关系，包括叔伯姑舅姨、兄弟姐妹、堂兄弟姐妹、表兄弟姐妹、侄子女、甥子女;</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4.近姻亲关系，包括配偶的父母、配偶的兄弟姐妹及其配偶、子女的配偶及子女配偶的父母、三代以内旁系血亲的配偶;</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5.其他亲属关系，包括养父母子女、形成抚养关系的继父母子女及由此形成的直系血亲、三代以内旁系血亲和近姻亲关系。</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所称直接上下级领导关系包括：</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1.领导班子正职与副职;</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2.同一内设机构正职与副职;</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3.上级正职、副职与下级正职;</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4.单位无内设机构的，其正职、副职与其他管理人员以及从事审计、财务工作的专业技术人员;</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5.内设机构无下一级单位的，其正职、副职与其他管理人员以及从事审计、财务工作的专业技术人员。</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从事招聘工作的人员与应聘人员有上述亲属关系的，须实行履职回避。</w:t>
      </w:r>
    </w:p>
    <w:p>
      <w:pPr>
        <w:pStyle w:val="2"/>
        <w:rPr>
          <w:rFonts w:ascii="楷体" w:hAnsi="楷体" w:eastAsia="楷体" w:cs="楷体"/>
          <w:color w:val="000000" w:themeColor="text1"/>
          <w:sz w:val="32"/>
          <w:szCs w:val="32"/>
          <w14:textFill>
            <w14:solidFill>
              <w14:schemeClr w14:val="tx1"/>
            </w14:solidFill>
          </w14:textFill>
        </w:rPr>
      </w:pPr>
      <w:bookmarkStart w:id="52" w:name="_Toc31418"/>
      <w:bookmarkStart w:id="53" w:name="_Toc6547"/>
      <w:bookmarkStart w:id="54" w:name="_Toc28052"/>
      <w:bookmarkStart w:id="55" w:name="_Toc20101"/>
      <w:bookmarkStart w:id="56" w:name="_Toc29283"/>
      <w:bookmarkStart w:id="57" w:name="_Toc459"/>
      <w:bookmarkStart w:id="58" w:name="_Toc29376"/>
      <w:r>
        <w:rPr>
          <w:rFonts w:hint="eastAsia" w:ascii="楷体" w:hAnsi="楷体" w:eastAsia="楷体" w:cs="楷体"/>
          <w:color w:val="000000" w:themeColor="text1"/>
          <w:sz w:val="32"/>
          <w:szCs w:val="32"/>
          <w14:textFill>
            <w14:solidFill>
              <w14:schemeClr w14:val="tx1"/>
            </w14:solidFill>
          </w14:textFill>
        </w:rPr>
        <w:t>（三）</w:t>
      </w:r>
      <w:bookmarkStart w:id="59" w:name="_Toc19635_WPSOffice_Level1"/>
      <w:r>
        <w:rPr>
          <w:rFonts w:hint="eastAsia" w:ascii="楷体" w:hAnsi="楷体" w:eastAsia="楷体" w:cs="楷体"/>
          <w:color w:val="000000" w:themeColor="text1"/>
          <w:sz w:val="32"/>
          <w:szCs w:val="32"/>
          <w14:textFill>
            <w14:solidFill>
              <w14:schemeClr w14:val="tx1"/>
            </w14:solidFill>
          </w14:textFill>
        </w:rPr>
        <w:t>岗位开考</w:t>
      </w:r>
      <w:bookmarkEnd w:id="52"/>
      <w:bookmarkEnd w:id="53"/>
      <w:bookmarkEnd w:id="54"/>
      <w:bookmarkEnd w:id="55"/>
      <w:bookmarkEnd w:id="56"/>
      <w:bookmarkEnd w:id="57"/>
      <w:bookmarkEnd w:id="58"/>
      <w:bookmarkEnd w:id="59"/>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通过报名资格初审且</w:t>
      </w:r>
      <w:r>
        <w:rPr>
          <w:rFonts w:hint="eastAsia" w:ascii="??_GB2312" w:eastAsia="Times New Roman"/>
          <w:color w:val="000000" w:themeColor="text1"/>
          <w:sz w:val="32"/>
          <w:szCs w:val="32"/>
          <w14:textFill>
            <w14:solidFill>
              <w14:schemeClr w14:val="tx1"/>
            </w14:solidFill>
          </w14:textFill>
        </w:rPr>
        <w:t>完成考试确认</w:t>
      </w:r>
      <w:r>
        <w:rPr>
          <w:rFonts w:ascii="??_GB2312" w:eastAsia="Times New Roman"/>
          <w:color w:val="000000" w:themeColor="text1"/>
          <w:sz w:val="32"/>
          <w:szCs w:val="32"/>
          <w14:textFill>
            <w14:solidFill>
              <w14:schemeClr w14:val="tx1"/>
            </w14:solidFill>
          </w14:textFill>
        </w:rPr>
        <w:t>的人数与岗位拟聘人数比例达不到3:1的，原则上取消该岗位开考或相应减少招聘人数，情况确实特殊可以申请适当降低比例开考。</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取消开考、减少招聘人数、降低开考比例的岗位，于报名工作结束，由招聘单位</w:t>
      </w:r>
      <w:r>
        <w:rPr>
          <w:rFonts w:hint="eastAsia" w:ascii="??_GB2312" w:eastAsia="Times New Roman"/>
          <w:color w:val="000000" w:themeColor="text1"/>
          <w:sz w:val="32"/>
          <w:szCs w:val="32"/>
          <w:lang w:eastAsia="zh-CN"/>
          <w14:textFill>
            <w14:solidFill>
              <w14:schemeClr w14:val="tx1"/>
            </w14:solidFill>
          </w14:textFill>
        </w:rPr>
        <w:t>提出意见经厦门医学院研究同意</w:t>
      </w:r>
      <w:r>
        <w:rPr>
          <w:rFonts w:ascii="??_GB2312" w:eastAsia="Times New Roman"/>
          <w:color w:val="000000" w:themeColor="text1"/>
          <w:sz w:val="32"/>
          <w:szCs w:val="32"/>
          <w14:textFill>
            <w14:solidFill>
              <w14:schemeClr w14:val="tx1"/>
            </w14:solidFill>
          </w14:textFill>
        </w:rPr>
        <w:t>后，在</w:t>
      </w:r>
      <w:r>
        <w:rPr>
          <w:rFonts w:hint="eastAsia" w:ascii="??_GB2312" w:eastAsia="Times New Roman"/>
          <w:color w:val="000000" w:themeColor="text1"/>
          <w:sz w:val="32"/>
          <w:szCs w:val="32"/>
          <w:lang w:eastAsia="zh-CN"/>
          <w14:textFill>
            <w14:solidFill>
              <w14:schemeClr w14:val="tx1"/>
            </w14:solidFill>
          </w14:textFill>
        </w:rPr>
        <w:t>厦门医学院官网</w:t>
      </w:r>
      <w:r>
        <w:rPr>
          <w:rFonts w:ascii="??_GB2312" w:eastAsia="Times New Roman"/>
          <w:color w:val="000000" w:themeColor="text1"/>
          <w:sz w:val="32"/>
          <w:szCs w:val="32"/>
          <w14:textFill>
            <w14:solidFill>
              <w14:schemeClr w14:val="tx1"/>
            </w14:solidFill>
          </w14:textFill>
        </w:rPr>
        <w:t>统一公告。</w:t>
      </w:r>
    </w:p>
    <w:p>
      <w:pPr>
        <w:pStyle w:val="2"/>
        <w:rPr>
          <w:rFonts w:ascii="黑体" w:hAnsi="黑体" w:eastAsia="黑体" w:cs="黑体"/>
          <w:color w:val="000000" w:themeColor="text1"/>
          <w:sz w:val="32"/>
          <w:szCs w:val="32"/>
          <w14:textFill>
            <w14:solidFill>
              <w14:schemeClr w14:val="tx1"/>
            </w14:solidFill>
          </w14:textFill>
        </w:rPr>
      </w:pPr>
      <w:bookmarkStart w:id="60" w:name="_Toc15831"/>
      <w:bookmarkStart w:id="61" w:name="_Toc13225"/>
      <w:bookmarkStart w:id="62" w:name="_Toc250"/>
      <w:bookmarkStart w:id="63" w:name="_Toc27094"/>
      <w:bookmarkStart w:id="64" w:name="_Toc14901"/>
      <w:bookmarkStart w:id="65" w:name="_Toc1152"/>
      <w:bookmarkStart w:id="66" w:name="_Toc1344"/>
      <w:r>
        <w:rPr>
          <w:rFonts w:hint="eastAsia" w:ascii="黑体" w:hAnsi="黑体" w:eastAsia="黑体" w:cs="黑体"/>
          <w:color w:val="000000" w:themeColor="text1"/>
          <w:sz w:val="32"/>
          <w:szCs w:val="32"/>
          <w14:textFill>
            <w14:solidFill>
              <w14:schemeClr w14:val="tx1"/>
            </w14:solidFill>
          </w14:textFill>
        </w:rPr>
        <w:t>四、资格复核</w:t>
      </w:r>
      <w:bookmarkEnd w:id="60"/>
      <w:bookmarkEnd w:id="61"/>
      <w:bookmarkEnd w:id="62"/>
      <w:bookmarkEnd w:id="63"/>
      <w:bookmarkEnd w:id="64"/>
      <w:bookmarkEnd w:id="65"/>
      <w:bookmarkEnd w:id="66"/>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资格复核由</w:t>
      </w:r>
      <w:r>
        <w:rPr>
          <w:rFonts w:hint="eastAsia" w:ascii="??_GB2312" w:eastAsia="Times New Roman"/>
          <w:color w:val="000000" w:themeColor="text1"/>
          <w:sz w:val="32"/>
          <w:szCs w:val="32"/>
          <w:lang w:eastAsia="zh-CN"/>
          <w14:textFill>
            <w14:solidFill>
              <w14:schemeClr w14:val="tx1"/>
            </w14:solidFill>
          </w14:textFill>
        </w:rPr>
        <w:t>招聘单位</w:t>
      </w:r>
      <w:r>
        <w:rPr>
          <w:rFonts w:ascii="??_GB2312" w:eastAsia="Times New Roman"/>
          <w:color w:val="000000" w:themeColor="text1"/>
          <w:sz w:val="32"/>
          <w:szCs w:val="32"/>
          <w14:textFill>
            <w14:solidFill>
              <w14:schemeClr w14:val="tx1"/>
            </w14:solidFill>
          </w14:textFill>
        </w:rPr>
        <w:t>负责组织。资格复核时，考生应提供以下资料的原件及复印件，复印件</w:t>
      </w:r>
      <w:r>
        <w:rPr>
          <w:rFonts w:hint="eastAsia" w:ascii="??_GB2312" w:eastAsia="Times New Roman"/>
          <w:color w:val="000000" w:themeColor="text1"/>
          <w:sz w:val="32"/>
          <w:szCs w:val="32"/>
          <w14:textFill>
            <w14:solidFill>
              <w14:schemeClr w14:val="tx1"/>
            </w14:solidFill>
          </w14:textFill>
        </w:rPr>
        <w:t>需</w:t>
      </w:r>
      <w:r>
        <w:rPr>
          <w:rFonts w:ascii="??_GB2312" w:eastAsia="Times New Roman"/>
          <w:color w:val="000000" w:themeColor="text1"/>
          <w:sz w:val="32"/>
          <w:szCs w:val="32"/>
          <w14:textFill>
            <w14:solidFill>
              <w14:schemeClr w14:val="tx1"/>
            </w14:solidFill>
          </w14:textFill>
        </w:rPr>
        <w:t>依序装订成册（一式2份）：</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（一）2021届毕业生：报名表、准考证（或免笔试通知书）、本人有效身份证、个人简历、《就业推荐表》或学校开具的其他</w:t>
      </w:r>
      <w:r>
        <w:rPr>
          <w:rFonts w:hint="eastAsia" w:ascii="??_GB2312" w:eastAsia="Times New Roman"/>
          <w:color w:val="000000" w:themeColor="text1"/>
          <w:sz w:val="32"/>
          <w:szCs w:val="32"/>
          <w14:textFill>
            <w14:solidFill>
              <w14:schemeClr w14:val="tx1"/>
            </w14:solidFill>
          </w14:textFill>
        </w:rPr>
        <w:t>能</w:t>
      </w:r>
      <w:r>
        <w:rPr>
          <w:rFonts w:ascii="??_GB2312" w:eastAsia="Times New Roman"/>
          <w:color w:val="000000" w:themeColor="text1"/>
          <w:sz w:val="32"/>
          <w:szCs w:val="32"/>
          <w14:textFill>
            <w14:solidFill>
              <w14:schemeClr w14:val="tx1"/>
            </w14:solidFill>
          </w14:textFill>
        </w:rPr>
        <w:t>证明2021届毕业生身份的材料、承诺书（</w:t>
      </w:r>
      <w:r>
        <w:rPr>
          <w:rFonts w:hint="eastAsia" w:ascii="??_GB2312" w:eastAsia="Times New Roman"/>
          <w:color w:val="000000" w:themeColor="text1"/>
          <w:sz w:val="32"/>
          <w:szCs w:val="32"/>
          <w14:textFill>
            <w14:solidFill>
              <w14:schemeClr w14:val="tx1"/>
            </w14:solidFill>
          </w14:textFill>
        </w:rPr>
        <w:t>详见</w:t>
      </w:r>
      <w:r>
        <w:rPr>
          <w:rFonts w:ascii="??_GB2312" w:eastAsia="Times New Roman"/>
          <w:color w:val="000000" w:themeColor="text1"/>
          <w:sz w:val="32"/>
          <w:szCs w:val="32"/>
          <w14:textFill>
            <w14:solidFill>
              <w14:schemeClr w14:val="tx1"/>
            </w14:solidFill>
          </w14:textFill>
        </w:rPr>
        <w:t>附件）以及岗位资格条件要求的其他材料。</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（二）其他人员：报名表、准考证（或免笔试通知书）、本人有效身份证、个人简历、学历（位）证以及岗位资格条件要求的其他材料。其中：</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1.按岗位资格条件以应届</w:t>
      </w:r>
      <w:r>
        <w:rPr>
          <w:rFonts w:hint="eastAsia" w:ascii="??_GB2312" w:eastAsia="Times New Roman"/>
          <w:color w:val="000000" w:themeColor="text1"/>
          <w:sz w:val="32"/>
          <w:szCs w:val="32"/>
          <w14:textFill>
            <w14:solidFill>
              <w14:schemeClr w14:val="tx1"/>
            </w14:solidFill>
          </w14:textFill>
        </w:rPr>
        <w:t>高校</w:t>
      </w:r>
      <w:r>
        <w:rPr>
          <w:rFonts w:ascii="??_GB2312" w:eastAsia="Times New Roman"/>
          <w:color w:val="000000" w:themeColor="text1"/>
          <w:sz w:val="32"/>
          <w:szCs w:val="32"/>
          <w14:textFill>
            <w14:solidFill>
              <w14:schemeClr w14:val="tx1"/>
            </w14:solidFill>
          </w14:textFill>
        </w:rPr>
        <w:t>毕业生身份</w:t>
      </w:r>
      <w:r>
        <w:rPr>
          <w:rFonts w:hint="eastAsia" w:ascii="??_GB2312" w:eastAsia="Times New Roman"/>
          <w:color w:val="000000" w:themeColor="text1"/>
          <w:sz w:val="32"/>
          <w:szCs w:val="32"/>
          <w14:textFill>
            <w14:solidFill>
              <w14:schemeClr w14:val="tx1"/>
            </w14:solidFill>
          </w14:textFill>
        </w:rPr>
        <w:t>（不含</w:t>
      </w:r>
      <w:r>
        <w:rPr>
          <w:rFonts w:ascii="??_GB2312" w:eastAsia="Times New Roman"/>
          <w:color w:val="000000" w:themeColor="text1"/>
          <w:sz w:val="32"/>
          <w:szCs w:val="32"/>
          <w14:textFill>
            <w14:solidFill>
              <w14:schemeClr w14:val="tx1"/>
            </w14:solidFill>
          </w14:textFill>
        </w:rPr>
        <w:t>2021</w:t>
      </w:r>
      <w:r>
        <w:rPr>
          <w:rFonts w:hint="eastAsia" w:ascii="??_GB2312" w:eastAsia="Times New Roman"/>
          <w:color w:val="000000" w:themeColor="text1"/>
          <w:sz w:val="32"/>
          <w:szCs w:val="32"/>
          <w14:textFill>
            <w14:solidFill>
              <w14:schemeClr w14:val="tx1"/>
            </w14:solidFill>
          </w14:textFill>
        </w:rPr>
        <w:t>届毕业生，具体界定详见本指南第十四章第四款）</w:t>
      </w:r>
      <w:r>
        <w:rPr>
          <w:rFonts w:ascii="??_GB2312" w:eastAsia="Times New Roman"/>
          <w:color w:val="000000" w:themeColor="text1"/>
          <w:sz w:val="32"/>
          <w:szCs w:val="32"/>
          <w14:textFill>
            <w14:solidFill>
              <w14:schemeClr w14:val="tx1"/>
            </w14:solidFill>
          </w14:textFill>
        </w:rPr>
        <w:t>报考的，还须提供原毕业学校或各级毕业生就业主管部门(毕业生就业指导服务中心)或各级人才交流服务机构或各级公共就业服务机构出具的证明材料。</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2.福建省内机关、事业单位、公立医疗卫生机构工作人员（含军队的医疗机构</w:t>
      </w:r>
      <w:r>
        <w:rPr>
          <w:rFonts w:hint="eastAsia" w:ascii="??_GB2312" w:eastAsia="Times New Roman"/>
          <w:color w:val="000000" w:themeColor="text1"/>
          <w:sz w:val="32"/>
          <w:szCs w:val="32"/>
          <w14:textFill>
            <w14:solidFill>
              <w14:schemeClr w14:val="tx1"/>
            </w14:solidFill>
          </w14:textFill>
        </w:rPr>
        <w:t>人员，不含辅助、派遣性质人员</w:t>
      </w:r>
      <w:r>
        <w:rPr>
          <w:rFonts w:ascii="??_GB2312" w:eastAsia="Times New Roman"/>
          <w:color w:val="000000" w:themeColor="text1"/>
          <w:sz w:val="32"/>
          <w:szCs w:val="32"/>
          <w14:textFill>
            <w14:solidFill>
              <w14:schemeClr w14:val="tx1"/>
            </w14:solidFill>
          </w14:textFill>
        </w:rPr>
        <w:t>）需征得所在单位同意方可报名，并需在资格复核时提供所在单位人事主管部门出具的同意报考书面证明（或已与单位解除劳动、聘用合同关系证明）；若暂时无法提供的，经招聘单位同意后可延至体检前提交，如体检前仍无法提交的，视为自动放弃体检资格。</w:t>
      </w:r>
    </w:p>
    <w:p>
      <w:pPr>
        <w:pStyle w:val="2"/>
        <w:rPr>
          <w:rFonts w:ascii="黑体" w:hAnsi="黑体" w:eastAsia="黑体" w:cs="黑体"/>
          <w:color w:val="000000" w:themeColor="text1"/>
          <w:sz w:val="32"/>
          <w:szCs w:val="32"/>
          <w14:textFill>
            <w14:solidFill>
              <w14:schemeClr w14:val="tx1"/>
            </w14:solidFill>
          </w14:textFill>
        </w:rPr>
      </w:pPr>
      <w:bookmarkStart w:id="67" w:name="_Toc18301"/>
      <w:bookmarkStart w:id="68" w:name="_Toc26712"/>
      <w:bookmarkStart w:id="69" w:name="_Toc16408"/>
      <w:bookmarkStart w:id="70" w:name="_Toc15383"/>
      <w:bookmarkStart w:id="71" w:name="_Toc30212"/>
      <w:bookmarkStart w:id="72" w:name="_Toc16925"/>
      <w:bookmarkStart w:id="73" w:name="_Toc12038"/>
      <w:r>
        <w:rPr>
          <w:rFonts w:hint="eastAsia" w:ascii="黑体" w:hAnsi="黑体" w:eastAsia="黑体" w:cs="黑体"/>
          <w:color w:val="000000" w:themeColor="text1"/>
          <w:sz w:val="32"/>
          <w:szCs w:val="32"/>
          <w14:textFill>
            <w14:solidFill>
              <w14:schemeClr w14:val="tx1"/>
            </w14:solidFill>
          </w14:textFill>
        </w:rPr>
        <w:t>五、年龄、资格（历）等的计算办法</w:t>
      </w:r>
      <w:bookmarkEnd w:id="67"/>
      <w:bookmarkEnd w:id="68"/>
      <w:bookmarkEnd w:id="69"/>
      <w:bookmarkEnd w:id="70"/>
      <w:bookmarkEnd w:id="71"/>
      <w:bookmarkEnd w:id="72"/>
      <w:bookmarkEnd w:id="73"/>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如无特别说明，相关年限的计算、证书取得时间等，均指计算截至报名截止当月。</w:t>
      </w:r>
    </w:p>
    <w:p>
      <w:pPr>
        <w:pStyle w:val="2"/>
        <w:rPr>
          <w:rFonts w:ascii="楷体" w:hAnsi="楷体" w:eastAsia="楷体" w:cs="楷体"/>
          <w:color w:val="000000" w:themeColor="text1"/>
          <w:sz w:val="32"/>
          <w:szCs w:val="32"/>
          <w14:textFill>
            <w14:solidFill>
              <w14:schemeClr w14:val="tx1"/>
            </w14:solidFill>
          </w14:textFill>
        </w:rPr>
      </w:pPr>
      <w:bookmarkStart w:id="74" w:name="_Toc25286"/>
      <w:r>
        <w:rPr>
          <w:rFonts w:hint="eastAsia" w:ascii="楷体" w:hAnsi="楷体" w:eastAsia="楷体" w:cs="楷体"/>
          <w:color w:val="000000" w:themeColor="text1"/>
          <w:sz w:val="32"/>
          <w:szCs w:val="32"/>
          <w14:textFill>
            <w14:solidFill>
              <w14:schemeClr w14:val="tx1"/>
            </w14:solidFill>
          </w14:textFill>
        </w:rPr>
        <w:t>（一）年龄</w:t>
      </w:r>
      <w:bookmarkEnd w:id="74"/>
    </w:p>
    <w:p>
      <w:pPr>
        <w:ind w:firstLine="640" w:firstLineChars="200"/>
        <w:rPr>
          <w:rFonts w:ascii="??_GB2312" w:eastAsia="Times New Roman"/>
          <w:color w:val="000000" w:themeColor="text1"/>
          <w:sz w:val="32"/>
          <w:szCs w:val="32"/>
          <w14:textFill>
            <w14:solidFill>
              <w14:schemeClr w14:val="tx1"/>
            </w14:solidFill>
          </w14:textFill>
        </w:rPr>
      </w:pPr>
      <w:bookmarkStart w:id="75" w:name="_Toc27137"/>
      <w:r>
        <w:rPr>
          <w:rFonts w:ascii="??_GB2312" w:eastAsia="Times New Roman"/>
          <w:color w:val="000000" w:themeColor="text1"/>
          <w:sz w:val="32"/>
          <w:szCs w:val="32"/>
          <w14:textFill>
            <w14:solidFill>
              <w14:schemeClr w14:val="tx1"/>
            </w14:solidFill>
          </w14:textFill>
        </w:rPr>
        <w:t>岗位资格条件要求的最高年龄35周岁是指18周岁以上、35周岁以下（即在1985年4月至2003年4月间出生人员），其他最高年龄要求的计算方法以此类推。</w:t>
      </w:r>
    </w:p>
    <w:p>
      <w:pPr>
        <w:pStyle w:val="2"/>
        <w:rPr>
          <w:rFonts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（二）资格（历）等</w:t>
      </w:r>
      <w:bookmarkEnd w:id="75"/>
    </w:p>
    <w:p>
      <w:pPr>
        <w:ind w:firstLine="640" w:firstLineChars="200"/>
        <w:rPr>
          <w:rFonts w:ascii="??_GB2312" w:eastAsia="Times New Roman"/>
          <w:color w:val="000000" w:themeColor="text1"/>
          <w:sz w:val="32"/>
          <w:szCs w:val="32"/>
          <w14:textFill>
            <w14:solidFill>
              <w14:schemeClr w14:val="tx1"/>
            </w14:solidFill>
          </w14:textFill>
        </w:rPr>
      </w:pPr>
      <w:bookmarkStart w:id="76" w:name="_Toc14196"/>
      <w:bookmarkStart w:id="77" w:name="_Toc30031"/>
      <w:bookmarkStart w:id="78" w:name="_Toc3272"/>
      <w:bookmarkStart w:id="79" w:name="_Toc21060"/>
      <w:bookmarkStart w:id="80" w:name="_Toc8761"/>
      <w:bookmarkStart w:id="81" w:name="_Toc20934"/>
      <w:bookmarkStart w:id="82" w:name="_Toc3023"/>
      <w:r>
        <w:rPr>
          <w:rFonts w:ascii="??_GB2312" w:eastAsia="Times New Roman"/>
          <w:color w:val="000000" w:themeColor="text1"/>
          <w:sz w:val="32"/>
          <w:szCs w:val="32"/>
          <w14:textFill>
            <w14:solidFill>
              <w14:schemeClr w14:val="tx1"/>
            </w14:solidFill>
          </w14:textFill>
        </w:rPr>
        <w:t>岗位要求具有“XX条件以上”的，如无特别说明，是指具有XX条件或XX条件以上所有条件中任何一个即可。如：具有2年以上工作经验指具有2年或2年以上工作经验；取得初级以上专业技术职务任职资格指取得初级、中级或高级专业技术职务任职资格中的任何一项或其中两项或三项均可。</w:t>
      </w:r>
    </w:p>
    <w:p>
      <w:pPr>
        <w:pStyle w:val="2"/>
        <w:rPr>
          <w:rFonts w:ascii="黑体" w:hAnsi="黑体" w:eastAsia="黑体" w:cs="黑体"/>
          <w:color w:val="000000" w:themeColor="text1"/>
          <w:sz w:val="32"/>
          <w:szCs w:val="32"/>
          <w14:textFill>
            <w14:solidFill>
              <w14:schemeClr w14:val="tx1"/>
            </w14:solidFill>
          </w14:textFill>
        </w:rPr>
      </w:pPr>
      <w:bookmarkStart w:id="83" w:name="_六、学历（位）认定"/>
      <w:r>
        <w:rPr>
          <w:rFonts w:hint="eastAsia" w:ascii="黑体" w:hAnsi="黑体" w:eastAsia="黑体" w:cs="黑体"/>
          <w:color w:val="000000" w:themeColor="text1"/>
          <w:sz w:val="32"/>
          <w:szCs w:val="32"/>
          <w14:textFill>
            <w14:solidFill>
              <w14:schemeClr w14:val="tx1"/>
            </w14:solidFill>
          </w14:textFill>
        </w:rPr>
        <w:t>六、学历（位）认定</w:t>
      </w:r>
      <w:bookmarkEnd w:id="76"/>
      <w:bookmarkEnd w:id="77"/>
      <w:bookmarkEnd w:id="78"/>
      <w:bookmarkEnd w:id="79"/>
      <w:bookmarkEnd w:id="80"/>
      <w:bookmarkEnd w:id="81"/>
      <w:bookmarkEnd w:id="82"/>
    </w:p>
    <w:bookmarkEnd w:id="83"/>
    <w:p>
      <w:pPr>
        <w:ind w:firstLine="640" w:firstLineChars="200"/>
        <w:rPr>
          <w:rFonts w:ascii="??_GB2312" w:eastAsia="Times New Roman"/>
          <w:color w:val="000000" w:themeColor="text1"/>
          <w:sz w:val="32"/>
          <w:szCs w:val="32"/>
          <w14:textFill>
            <w14:solidFill>
              <w14:schemeClr w14:val="tx1"/>
            </w14:solidFill>
          </w14:textFill>
        </w:rPr>
      </w:pPr>
      <w:bookmarkStart w:id="84" w:name="_Toc1390"/>
      <w:bookmarkStart w:id="85" w:name="_Toc15609"/>
      <w:bookmarkStart w:id="86" w:name="_Toc15768"/>
      <w:bookmarkStart w:id="87" w:name="_Toc26083"/>
      <w:bookmarkStart w:id="88" w:name="_Toc21436"/>
      <w:bookmarkStart w:id="89" w:name="_Toc18537"/>
      <w:bookmarkStart w:id="90" w:name="_Toc31141"/>
      <w:r>
        <w:rPr>
          <w:rFonts w:ascii="??_GB2312" w:eastAsia="Times New Roman"/>
          <w:color w:val="000000" w:themeColor="text1"/>
          <w:sz w:val="32"/>
          <w:szCs w:val="32"/>
          <w14:textFill>
            <w14:solidFill>
              <w14:schemeClr w14:val="tx1"/>
            </w14:solidFill>
          </w14:textFill>
        </w:rPr>
        <w:t>岗位资格条件要求的学历(位)须是国家承认的国民教育毕业学历(位)。</w:t>
      </w:r>
    </w:p>
    <w:p>
      <w:pPr>
        <w:pStyle w:val="2"/>
        <w:rPr>
          <w:rFonts w:ascii="楷体" w:hAnsi="楷体" w:eastAsia="楷体" w:cs="楷体"/>
          <w:color w:val="000000" w:themeColor="text1"/>
          <w:sz w:val="32"/>
          <w:szCs w:val="32"/>
          <w14:textFill>
            <w14:solidFill>
              <w14:schemeClr w14:val="tx1"/>
            </w14:solidFill>
          </w14:textFill>
        </w:rPr>
      </w:pPr>
      <w:bookmarkStart w:id="91" w:name="_（一）境内学历（位）"/>
      <w:r>
        <w:rPr>
          <w:rFonts w:hint="eastAsia" w:ascii="楷体" w:hAnsi="楷体" w:eastAsia="楷体" w:cs="楷体"/>
          <w:color w:val="000000" w:themeColor="text1"/>
          <w:sz w:val="32"/>
          <w:szCs w:val="32"/>
          <w14:textFill>
            <w14:solidFill>
              <w14:schemeClr w14:val="tx1"/>
            </w14:solidFill>
          </w14:textFill>
        </w:rPr>
        <w:t>（一）境内学历（位）</w:t>
      </w:r>
      <w:bookmarkEnd w:id="84"/>
      <w:bookmarkEnd w:id="85"/>
      <w:bookmarkEnd w:id="86"/>
      <w:bookmarkEnd w:id="87"/>
      <w:bookmarkEnd w:id="88"/>
      <w:bookmarkEnd w:id="89"/>
      <w:bookmarkEnd w:id="90"/>
    </w:p>
    <w:bookmarkEnd w:id="91"/>
    <w:p>
      <w:pPr>
        <w:ind w:firstLine="640" w:firstLineChars="200"/>
        <w:rPr>
          <w:rFonts w:ascii="??_GB2312" w:eastAsia="Times New Roman"/>
          <w:color w:val="000000" w:themeColor="text1"/>
          <w:sz w:val="32"/>
          <w:szCs w:val="32"/>
          <w14:textFill>
            <w14:solidFill>
              <w14:schemeClr w14:val="tx1"/>
            </w14:solidFill>
          </w14:textFill>
        </w:rPr>
      </w:pPr>
      <w:bookmarkStart w:id="92" w:name="_Toc12445"/>
      <w:bookmarkStart w:id="93" w:name="_Toc12784"/>
      <w:bookmarkStart w:id="94" w:name="_Toc20018"/>
      <w:bookmarkStart w:id="95" w:name="_Toc23500"/>
      <w:bookmarkStart w:id="96" w:name="_Toc6283"/>
      <w:bookmarkStart w:id="97" w:name="_Toc28427"/>
      <w:bookmarkStart w:id="98" w:name="_Toc25204"/>
      <w:r>
        <w:rPr>
          <w:rFonts w:ascii="??_GB2312" w:eastAsia="Times New Roman"/>
          <w:color w:val="000000" w:themeColor="text1"/>
          <w:sz w:val="32"/>
          <w:szCs w:val="32"/>
          <w14:textFill>
            <w14:solidFill>
              <w14:schemeClr w14:val="tx1"/>
            </w14:solidFill>
          </w14:textFill>
        </w:rPr>
        <w:t>用于报考的学历（含自学考试、成人教育、网络教育、夜大、电大等）应在中国高等教育学生信息网(简称学信网，</w:t>
      </w:r>
      <w:r>
        <w:rPr>
          <w:rFonts w:ascii="??_GB2312" w:eastAsia="Times New Roman"/>
          <w:color w:val="000000" w:themeColor="text1"/>
          <w:sz w:val="32"/>
          <w:szCs w:val="32"/>
          <w14:textFill>
            <w14:solidFill>
              <w14:schemeClr w14:val="tx1"/>
            </w14:solidFill>
          </w14:textFill>
        </w:rPr>
        <w:fldChar w:fldCharType="begin"/>
      </w:r>
      <w:r>
        <w:rPr>
          <w:rFonts w:ascii="??_GB2312" w:eastAsia="Times New Roman"/>
          <w:color w:val="000000" w:themeColor="text1"/>
          <w:sz w:val="32"/>
          <w:szCs w:val="32"/>
          <w14:textFill>
            <w14:solidFill>
              <w14:schemeClr w14:val="tx1"/>
            </w14:solidFill>
          </w14:textFill>
        </w:rPr>
        <w:instrText xml:space="preserve"> HYPERLINK "http://www.chsi.com.cn/" \h </w:instrText>
      </w:r>
      <w:r>
        <w:rPr>
          <w:rFonts w:ascii="??_GB2312" w:eastAsia="Times New Roman"/>
          <w:color w:val="000000" w:themeColor="text1"/>
          <w:sz w:val="32"/>
          <w:szCs w:val="32"/>
          <w14:textFill>
            <w14:solidFill>
              <w14:schemeClr w14:val="tx1"/>
            </w14:solidFill>
          </w14:textFill>
        </w:rPr>
        <w:fldChar w:fldCharType="separate"/>
      </w:r>
      <w:r>
        <w:rPr>
          <w:rFonts w:ascii="??_GB2312" w:eastAsia="Times New Roman"/>
          <w:color w:val="000000" w:themeColor="text1"/>
          <w:sz w:val="32"/>
          <w:szCs w:val="32"/>
          <w14:textFill>
            <w14:solidFill>
              <w14:schemeClr w14:val="tx1"/>
            </w14:solidFill>
          </w14:textFill>
        </w:rPr>
        <w:t>http://www.chsi.com.cn/</w:t>
      </w:r>
      <w:r>
        <w:rPr>
          <w:rFonts w:ascii="??_GB2312" w:eastAsia="Times New Roman"/>
          <w:color w:val="000000" w:themeColor="text1"/>
          <w:sz w:val="32"/>
          <w:szCs w:val="32"/>
          <w14:textFill>
            <w14:solidFill>
              <w14:schemeClr w14:val="tx1"/>
            </w14:solidFill>
          </w14:textFill>
        </w:rPr>
        <w:fldChar w:fldCharType="end"/>
      </w:r>
      <w:r>
        <w:rPr>
          <w:rFonts w:ascii="??_GB2312" w:eastAsia="Times New Roman"/>
          <w:color w:val="000000" w:themeColor="text1"/>
          <w:sz w:val="32"/>
          <w:szCs w:val="32"/>
          <w14:textFill>
            <w14:solidFill>
              <w14:schemeClr w14:val="tx1"/>
            </w14:solidFill>
          </w14:textFill>
        </w:rPr>
        <w:t>，下同) 上可查询认证，用于报考的学位应在中国学位与研究生教育信息网(简称学位网，</w:t>
      </w:r>
      <w:r>
        <w:rPr>
          <w:rFonts w:ascii="??_GB2312" w:eastAsia="Times New Roman"/>
          <w:color w:val="000000" w:themeColor="text1"/>
          <w:sz w:val="32"/>
          <w:szCs w:val="32"/>
          <w14:textFill>
            <w14:solidFill>
              <w14:schemeClr w14:val="tx1"/>
            </w14:solidFill>
          </w14:textFill>
        </w:rPr>
        <w:fldChar w:fldCharType="begin"/>
      </w:r>
      <w:r>
        <w:rPr>
          <w:rFonts w:ascii="??_GB2312" w:eastAsia="Times New Roman"/>
          <w:color w:val="000000" w:themeColor="text1"/>
          <w:sz w:val="32"/>
          <w:szCs w:val="32"/>
          <w14:textFill>
            <w14:solidFill>
              <w14:schemeClr w14:val="tx1"/>
            </w14:solidFill>
          </w14:textFill>
        </w:rPr>
        <w:instrText xml:space="preserve"> HYPERLINK "http://www.cdgdc.edu.cn/" \h </w:instrText>
      </w:r>
      <w:r>
        <w:rPr>
          <w:rFonts w:ascii="??_GB2312" w:eastAsia="Times New Roman"/>
          <w:color w:val="000000" w:themeColor="text1"/>
          <w:sz w:val="32"/>
          <w:szCs w:val="32"/>
          <w14:textFill>
            <w14:solidFill>
              <w14:schemeClr w14:val="tx1"/>
            </w14:solidFill>
          </w14:textFill>
        </w:rPr>
        <w:fldChar w:fldCharType="separate"/>
      </w:r>
      <w:r>
        <w:rPr>
          <w:rFonts w:ascii="??_GB2312" w:eastAsia="Times New Roman"/>
          <w:color w:val="000000" w:themeColor="text1"/>
          <w:sz w:val="32"/>
          <w:szCs w:val="32"/>
          <w14:textFill>
            <w14:solidFill>
              <w14:schemeClr w14:val="tx1"/>
            </w14:solidFill>
          </w14:textFill>
        </w:rPr>
        <w:t>http://www.cdgdc.edu.cn/</w:t>
      </w:r>
      <w:r>
        <w:rPr>
          <w:rFonts w:ascii="??_GB2312" w:eastAsia="Times New Roman"/>
          <w:color w:val="000000" w:themeColor="text1"/>
          <w:sz w:val="32"/>
          <w:szCs w:val="32"/>
          <w14:textFill>
            <w14:solidFill>
              <w14:schemeClr w14:val="tx1"/>
            </w14:solidFill>
          </w14:textFill>
        </w:rPr>
        <w:fldChar w:fldCharType="end"/>
      </w:r>
      <w:r>
        <w:rPr>
          <w:rFonts w:ascii="??_GB2312" w:eastAsia="Times New Roman"/>
          <w:color w:val="000000" w:themeColor="text1"/>
          <w:sz w:val="32"/>
          <w:szCs w:val="32"/>
          <w14:textFill>
            <w14:solidFill>
              <w14:schemeClr w14:val="tx1"/>
            </w14:solidFill>
          </w14:textFill>
        </w:rPr>
        <w:t>，下同)上可查询认证。</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全日制普通教育2021届毕业生尚未取得相应学历（位）的，可持学校出具的《就业推荐表》</w:t>
      </w:r>
      <w:r>
        <w:rPr>
          <w:rFonts w:hint="eastAsia" w:ascii="??_GB2312" w:eastAsia="Times New Roman"/>
          <w:color w:val="000000" w:themeColor="text1"/>
          <w:sz w:val="32"/>
          <w:szCs w:val="32"/>
          <w14:textFill>
            <w14:solidFill>
              <w14:schemeClr w14:val="tx1"/>
            </w14:solidFill>
          </w14:textFill>
        </w:rPr>
        <w:t>或书面证明</w:t>
      </w:r>
      <w:r>
        <w:rPr>
          <w:rFonts w:ascii="??_GB2312" w:eastAsia="Times New Roman"/>
          <w:color w:val="000000" w:themeColor="text1"/>
          <w:sz w:val="32"/>
          <w:szCs w:val="32"/>
          <w14:textFill>
            <w14:solidFill>
              <w14:schemeClr w14:val="tx1"/>
            </w14:solidFill>
          </w14:textFill>
        </w:rPr>
        <w:t>报名，本科及以下学历毕业生须于2021年9月30日前、研究生学历毕业生须于2021年12月31日前取得并能提供符合岗位报考资格条件的相应学历（位）证书，否则视为自动放弃考试（聘用）资格。</w:t>
      </w:r>
    </w:p>
    <w:p>
      <w:pPr>
        <w:pStyle w:val="2"/>
        <w:rPr>
          <w:rFonts w:ascii="楷体" w:hAnsi="楷体" w:eastAsia="楷体" w:cs="楷体"/>
          <w:color w:val="000000" w:themeColor="text1"/>
          <w:sz w:val="32"/>
          <w:szCs w:val="32"/>
          <w14:textFill>
            <w14:solidFill>
              <w14:schemeClr w14:val="tx1"/>
            </w14:solidFill>
          </w14:textFill>
        </w:rPr>
      </w:pPr>
      <w:bookmarkStart w:id="99" w:name="_Toc23481"/>
      <w:bookmarkStart w:id="100" w:name="_Toc19890"/>
      <w:bookmarkStart w:id="101" w:name="_Toc21019"/>
      <w:bookmarkStart w:id="102" w:name="_Toc25344"/>
      <w:bookmarkStart w:id="103" w:name="_Toc16410"/>
      <w:bookmarkStart w:id="104" w:name="_Toc26637"/>
      <w:bookmarkStart w:id="105" w:name="_Toc19903"/>
      <w:bookmarkStart w:id="106" w:name="_Toc2494"/>
      <w:r>
        <w:rPr>
          <w:rFonts w:hint="eastAsia" w:ascii="楷体" w:hAnsi="楷体" w:eastAsia="楷体" w:cs="楷体"/>
          <w:color w:val="000000" w:themeColor="text1"/>
          <w:sz w:val="32"/>
          <w:szCs w:val="32"/>
          <w14:textFill>
            <w14:solidFill>
              <w14:schemeClr w14:val="tx1"/>
            </w14:solidFill>
          </w14:textFill>
        </w:rPr>
        <w:t>（二）境外学历（位）</w:t>
      </w:r>
      <w:bookmarkEnd w:id="99"/>
      <w:bookmarkEnd w:id="100"/>
      <w:bookmarkEnd w:id="101"/>
      <w:bookmarkEnd w:id="102"/>
      <w:bookmarkEnd w:id="103"/>
      <w:bookmarkEnd w:id="104"/>
      <w:bookmarkEnd w:id="105"/>
      <w:bookmarkEnd w:id="106"/>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持境外学历（位）报考的，应提供教育部留学服务中心出具的《国外学历学位认证书》或《香港、澳门特别行政区学历学位认证书》</w:t>
      </w:r>
      <w:r>
        <w:rPr>
          <w:rFonts w:hint="eastAsia" w:ascii="??_GB2312" w:eastAsia="Times New Roman"/>
          <w:color w:val="000000" w:themeColor="text1"/>
          <w:sz w:val="32"/>
          <w:szCs w:val="32"/>
          <w14:textFill>
            <w14:solidFill>
              <w14:schemeClr w14:val="tx1"/>
            </w14:solidFill>
          </w14:textFill>
        </w:rPr>
        <w:t>或</w:t>
      </w:r>
      <w:r>
        <w:rPr>
          <w:rFonts w:ascii="??_GB2312" w:eastAsia="Times New Roman"/>
          <w:color w:val="000000" w:themeColor="text1"/>
          <w:sz w:val="32"/>
          <w:szCs w:val="32"/>
          <w14:textFill>
            <w14:solidFill>
              <w14:schemeClr w14:val="tx1"/>
            </w14:solidFill>
          </w14:textFill>
        </w:rPr>
        <w:t>我国驻外使领馆</w:t>
      </w:r>
      <w:r>
        <w:rPr>
          <w:rFonts w:hint="eastAsia" w:ascii="??_GB2312" w:eastAsia="Times New Roman"/>
          <w:color w:val="000000" w:themeColor="text1"/>
          <w:sz w:val="32"/>
          <w:szCs w:val="32"/>
          <w14:textFill>
            <w14:solidFill>
              <w14:schemeClr w14:val="tx1"/>
            </w14:solidFill>
          </w14:textFill>
        </w:rPr>
        <w:t>出具</w:t>
      </w:r>
      <w:r>
        <w:rPr>
          <w:rFonts w:ascii="??_GB2312" w:eastAsia="Times New Roman"/>
          <w:color w:val="000000" w:themeColor="text1"/>
          <w:sz w:val="32"/>
          <w:szCs w:val="32"/>
          <w14:textFill>
            <w14:solidFill>
              <w14:schemeClr w14:val="tx1"/>
            </w14:solidFill>
          </w14:textFill>
        </w:rPr>
        <w:t>的有关证明材料。</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属于国内院校与国外院校联合办学取得境外学历</w:t>
      </w:r>
      <w:r>
        <w:rPr>
          <w:rFonts w:hint="eastAsia" w:ascii="??_GB2312" w:eastAsia="Times New Roman"/>
          <w:color w:val="000000" w:themeColor="text1"/>
          <w:sz w:val="32"/>
          <w:szCs w:val="32"/>
          <w14:textFill>
            <w14:solidFill>
              <w14:schemeClr w14:val="tx1"/>
            </w14:solidFill>
          </w14:textFill>
        </w:rPr>
        <w:t>（</w:t>
      </w:r>
      <w:r>
        <w:rPr>
          <w:rFonts w:ascii="??_GB2312" w:eastAsia="Times New Roman"/>
          <w:color w:val="000000" w:themeColor="text1"/>
          <w:sz w:val="32"/>
          <w:szCs w:val="32"/>
          <w14:textFill>
            <w14:solidFill>
              <w14:schemeClr w14:val="tx1"/>
            </w14:solidFill>
          </w14:textFill>
        </w:rPr>
        <w:t>位</w:t>
      </w:r>
      <w:r>
        <w:rPr>
          <w:rFonts w:hint="eastAsia" w:ascii="??_GB2312" w:eastAsia="Times New Roman"/>
          <w:color w:val="000000" w:themeColor="text1"/>
          <w:sz w:val="32"/>
          <w:szCs w:val="32"/>
          <w14:textFill>
            <w14:solidFill>
              <w14:schemeClr w14:val="tx1"/>
            </w14:solidFill>
          </w14:textFill>
        </w:rPr>
        <w:t>）</w:t>
      </w:r>
      <w:r>
        <w:rPr>
          <w:rFonts w:ascii="??_GB2312" w:eastAsia="Times New Roman"/>
          <w:color w:val="000000" w:themeColor="text1"/>
          <w:sz w:val="32"/>
          <w:szCs w:val="32"/>
          <w14:textFill>
            <w14:solidFill>
              <w14:schemeClr w14:val="tx1"/>
            </w14:solidFill>
          </w14:textFill>
        </w:rPr>
        <w:t>的，需提供教育部留学服务中心出具的《联合办学学历学位评估意见书》或《联合办学学历学位认证书》。</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持境外学历（位）报考的2021届毕业生，在资格复核时也须提交承诺书（</w:t>
      </w:r>
      <w:r>
        <w:rPr>
          <w:rFonts w:hint="eastAsia" w:ascii="??_GB2312" w:eastAsia="Times New Roman"/>
          <w:color w:val="000000" w:themeColor="text1"/>
          <w:sz w:val="32"/>
          <w:szCs w:val="32"/>
          <w14:textFill>
            <w14:solidFill>
              <w14:schemeClr w14:val="tx1"/>
            </w14:solidFill>
          </w14:textFill>
        </w:rPr>
        <w:t>详见</w:t>
      </w:r>
      <w:r>
        <w:rPr>
          <w:rFonts w:ascii="??_GB2312" w:eastAsia="Times New Roman"/>
          <w:color w:val="000000" w:themeColor="text1"/>
          <w:sz w:val="32"/>
          <w:szCs w:val="32"/>
          <w14:textFill>
            <w14:solidFill>
              <w14:schemeClr w14:val="tx1"/>
            </w14:solidFill>
          </w14:textFill>
        </w:rPr>
        <w:t>附件）。</w:t>
      </w:r>
    </w:p>
    <w:p>
      <w:pPr>
        <w:pStyle w:val="2"/>
        <w:rPr>
          <w:rFonts w:ascii="楷体" w:hAnsi="楷体" w:eastAsia="楷体" w:cs="楷体"/>
          <w:color w:val="000000" w:themeColor="text1"/>
          <w:sz w:val="32"/>
          <w:szCs w:val="32"/>
          <w14:textFill>
            <w14:solidFill>
              <w14:schemeClr w14:val="tx1"/>
            </w14:solidFill>
          </w14:textFill>
        </w:rPr>
      </w:pPr>
      <w:bookmarkStart w:id="107" w:name="_Toc16795"/>
      <w:bookmarkStart w:id="108" w:name="_Toc22445"/>
      <w:bookmarkStart w:id="109" w:name="_Toc32368"/>
      <w:bookmarkStart w:id="110" w:name="_Toc8453"/>
      <w:bookmarkStart w:id="111" w:name="_Toc23613"/>
      <w:bookmarkStart w:id="112" w:name="_Toc10504"/>
      <w:bookmarkStart w:id="113" w:name="_Toc30743"/>
      <w:bookmarkStart w:id="114" w:name="_Toc14163"/>
      <w:r>
        <w:rPr>
          <w:rFonts w:hint="eastAsia" w:ascii="楷体" w:hAnsi="楷体" w:eastAsia="楷体" w:cs="楷体"/>
          <w:color w:val="000000" w:themeColor="text1"/>
          <w:sz w:val="32"/>
          <w:szCs w:val="32"/>
          <w14:textFill>
            <w14:solidFill>
              <w14:schemeClr w14:val="tx1"/>
            </w14:solidFill>
          </w14:textFill>
        </w:rPr>
        <w:t>（三）福建省“双学位”“双专业”教育</w:t>
      </w:r>
      <w:bookmarkEnd w:id="107"/>
      <w:bookmarkEnd w:id="108"/>
      <w:bookmarkEnd w:id="109"/>
      <w:bookmarkEnd w:id="110"/>
      <w:bookmarkEnd w:id="111"/>
      <w:bookmarkEnd w:id="112"/>
      <w:bookmarkEnd w:id="113"/>
      <w:bookmarkEnd w:id="114"/>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根据《关于在全省高校毕业生中试行“双学位”“双专业”教育的意见》（闽教高〔2009〕9号），经修读达到毕业条件并获得“双学位”“双专业”证书的报考者，在本省范围内承认其学历、学位。</w:t>
      </w:r>
    </w:p>
    <w:p>
      <w:pPr>
        <w:pStyle w:val="2"/>
        <w:rPr>
          <w:rFonts w:ascii="楷体" w:hAnsi="楷体" w:eastAsia="楷体" w:cs="楷体"/>
          <w:color w:val="000000" w:themeColor="text1"/>
          <w:sz w:val="32"/>
          <w:szCs w:val="32"/>
          <w14:textFill>
            <w14:solidFill>
              <w14:schemeClr w14:val="tx1"/>
            </w14:solidFill>
          </w14:textFill>
        </w:rPr>
      </w:pPr>
      <w:bookmarkStart w:id="115" w:name="_Toc32514"/>
      <w:bookmarkStart w:id="116" w:name="_Toc513"/>
      <w:bookmarkStart w:id="117" w:name="_Toc17251"/>
      <w:bookmarkStart w:id="118" w:name="_Toc4851"/>
      <w:bookmarkStart w:id="119" w:name="_Toc8728"/>
      <w:bookmarkStart w:id="120" w:name="_Toc14540"/>
      <w:bookmarkStart w:id="121" w:name="_Toc12030"/>
      <w:bookmarkStart w:id="122" w:name="_Toc16941"/>
      <w:r>
        <w:rPr>
          <w:rFonts w:hint="eastAsia" w:ascii="楷体" w:hAnsi="楷体" w:eastAsia="楷体" w:cs="楷体"/>
          <w:color w:val="000000" w:themeColor="text1"/>
          <w:sz w:val="32"/>
          <w:szCs w:val="32"/>
          <w14:textFill>
            <w14:solidFill>
              <w14:schemeClr w14:val="tx1"/>
            </w14:solidFill>
          </w14:textFill>
        </w:rPr>
        <w:t>（四）提醒事项</w:t>
      </w:r>
      <w:bookmarkEnd w:id="115"/>
      <w:bookmarkEnd w:id="116"/>
      <w:bookmarkEnd w:id="117"/>
      <w:bookmarkEnd w:id="118"/>
      <w:bookmarkEnd w:id="119"/>
      <w:bookmarkEnd w:id="120"/>
      <w:bookmarkEnd w:id="121"/>
      <w:bookmarkEnd w:id="122"/>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资格复核时，招聘单位将对学历（位）情况进行核查，请报考者按照上述要求，提前做好相应认证报告或网上查验准备。</w:t>
      </w:r>
    </w:p>
    <w:p>
      <w:pPr>
        <w:pStyle w:val="2"/>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七、专业认定</w:t>
      </w:r>
      <w:bookmarkEnd w:id="92"/>
      <w:bookmarkEnd w:id="93"/>
      <w:bookmarkEnd w:id="94"/>
      <w:bookmarkEnd w:id="95"/>
      <w:bookmarkEnd w:id="96"/>
      <w:bookmarkEnd w:id="97"/>
      <w:bookmarkEnd w:id="98"/>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本次招聘考试以《福建省机关事业单位招考专业指导目录（2021年）》（以下简称《专业指导目录》）作为岗位专业条件设置和审核的依据。其他来源的专业指导目录不作为本次报考和审核的依据。</w:t>
      </w:r>
    </w:p>
    <w:p>
      <w:pPr>
        <w:pStyle w:val="2"/>
        <w:rPr>
          <w:rFonts w:ascii="楷体" w:hAnsi="楷体" w:eastAsia="楷体" w:cs="楷体"/>
          <w:color w:val="000000" w:themeColor="text1"/>
          <w:sz w:val="32"/>
          <w:szCs w:val="32"/>
          <w14:textFill>
            <w14:solidFill>
              <w14:schemeClr w14:val="tx1"/>
            </w14:solidFill>
          </w14:textFill>
        </w:rPr>
      </w:pPr>
      <w:bookmarkStart w:id="123" w:name="_Toc10067"/>
      <w:bookmarkStart w:id="124" w:name="_Toc23238"/>
      <w:bookmarkStart w:id="125" w:name="_Toc10798"/>
      <w:bookmarkStart w:id="126" w:name="_Toc17684"/>
      <w:bookmarkStart w:id="127" w:name="_Toc12880"/>
      <w:bookmarkStart w:id="128" w:name="_Toc5122"/>
      <w:bookmarkStart w:id="129" w:name="_Toc20957"/>
      <w:r>
        <w:rPr>
          <w:rFonts w:hint="eastAsia" w:ascii="楷体" w:hAnsi="楷体" w:eastAsia="楷体" w:cs="楷体"/>
          <w:color w:val="000000" w:themeColor="text1"/>
          <w:sz w:val="32"/>
          <w:szCs w:val="32"/>
          <w14:textFill>
            <w14:solidFill>
              <w14:schemeClr w14:val="tx1"/>
            </w14:solidFill>
          </w14:textFill>
        </w:rPr>
        <w:t>（一）填报专业名称</w:t>
      </w:r>
      <w:bookmarkEnd w:id="123"/>
      <w:bookmarkEnd w:id="124"/>
      <w:bookmarkEnd w:id="125"/>
      <w:bookmarkEnd w:id="126"/>
      <w:bookmarkEnd w:id="127"/>
      <w:bookmarkEnd w:id="128"/>
      <w:bookmarkEnd w:id="129"/>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报考者报名时应严格按照所持证书（认证报告）所注明专业只字不差、如实填写所学专业。其中，全日制普通教育学历所学专业以毕业证书为准，非全日制普通教育学历和境外学历（位）所学专业以教育部学历（位）认证部门出具的认证报告为准</w:t>
      </w:r>
      <w:r>
        <w:rPr>
          <w:rFonts w:hint="eastAsia" w:ascii="??_GB2312" w:eastAsia="Times New Roman"/>
          <w:color w:val="000000" w:themeColor="text1"/>
          <w:sz w:val="32"/>
          <w:szCs w:val="32"/>
          <w14:textFill>
            <w14:solidFill>
              <w14:schemeClr w14:val="tx1"/>
            </w14:solidFill>
          </w14:textFill>
        </w:rPr>
        <w:t>。</w:t>
      </w:r>
    </w:p>
    <w:p>
      <w:pPr>
        <w:ind w:firstLine="640" w:firstLineChars="200"/>
        <w:rPr>
          <w:rFonts w:ascii="??_GB2312" w:eastAsia="Times New Roman"/>
          <w:color w:val="000000" w:themeColor="text1"/>
          <w:sz w:val="32"/>
          <w:szCs w:val="32"/>
          <w14:textFill>
            <w14:solidFill>
              <w14:schemeClr w14:val="tx1"/>
            </w14:solidFill>
          </w14:textFill>
        </w:rPr>
      </w:pPr>
      <w:r>
        <w:rPr>
          <w:rFonts w:ascii="??_GB2312" w:eastAsia="Times New Roman"/>
          <w:color w:val="000000" w:themeColor="text1"/>
          <w:sz w:val="32"/>
          <w:szCs w:val="32"/>
          <w14:textFill>
            <w14:solidFill>
              <w14:schemeClr w14:val="tx1"/>
            </w14:solidFill>
          </w14:textFill>
        </w:rPr>
        <w:t>如所学专业有专业方向但未在毕业证书上体现的，报考者应先按照毕业证书上注明的专业填报，同时在报名信息表的备注栏中加以说明，并配合招聘单位要求提供本章节第（三）款第2点列示的证明材料。</w:t>
      </w:r>
    </w:p>
    <w:p>
      <w:pPr>
        <w:pStyle w:val="2"/>
        <w:rPr>
          <w:rFonts w:ascii="楷体" w:hAnsi="楷体" w:eastAsia="楷体" w:cs="楷体"/>
          <w:color w:val="000000" w:themeColor="text1"/>
          <w:sz w:val="32"/>
          <w:szCs w:val="32"/>
          <w14:textFill>
            <w14:solidFill>
              <w14:schemeClr w14:val="tx1"/>
            </w14:solidFill>
          </w14:textFill>
        </w:rPr>
      </w:pPr>
      <w:bookmarkStart w:id="130" w:name="_Toc2160"/>
      <w:bookmarkStart w:id="131" w:name="_Toc8254"/>
      <w:bookmarkStart w:id="132" w:name="_Toc28824"/>
      <w:bookmarkStart w:id="133" w:name="_Toc18233"/>
      <w:bookmarkStart w:id="134" w:name="_Toc26794"/>
      <w:bookmarkStart w:id="135" w:name="_Toc11746"/>
      <w:bookmarkStart w:id="136" w:name="_Toc26297"/>
      <w:r>
        <w:rPr>
          <w:rFonts w:hint="eastAsia" w:ascii="楷体" w:hAnsi="楷体" w:eastAsia="楷体" w:cs="楷体"/>
          <w:color w:val="000000" w:themeColor="text1"/>
          <w:sz w:val="32"/>
          <w:szCs w:val="32"/>
          <w14:textFill>
            <w14:solidFill>
              <w14:schemeClr w14:val="tx1"/>
            </w14:solidFill>
          </w14:textFill>
        </w:rPr>
        <w:t>（二）专业与学历（位）的对应关系</w:t>
      </w:r>
      <w:bookmarkEnd w:id="130"/>
      <w:bookmarkEnd w:id="131"/>
      <w:bookmarkEnd w:id="132"/>
      <w:bookmarkEnd w:id="133"/>
      <w:bookmarkEnd w:id="134"/>
      <w:bookmarkEnd w:id="135"/>
      <w:bookmarkEnd w:id="136"/>
    </w:p>
    <w:p>
      <w:pPr>
        <w:ind w:firstLine="640" w:firstLineChars="200"/>
        <w:rPr>
          <w:rFonts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岗位要求的专业条件与学历条件相互匹配。报考者可使用本人已获得的任意学历及其对应的专业进行报考，如具有硕士研究生学历的报考者也可使用本人的本科学历及其对应的专业报考，但所用专业对应的学历不得低于该岗位设置的学历条件要求。</w:t>
      </w:r>
    </w:p>
    <w:p>
      <w:pPr>
        <w:pStyle w:val="2"/>
        <w:rPr>
          <w:rFonts w:ascii="楷体" w:hAnsi="楷体" w:eastAsia="楷体" w:cs="楷体"/>
          <w:color w:val="000000" w:themeColor="text1"/>
          <w:sz w:val="32"/>
          <w:szCs w:val="32"/>
          <w14:textFill>
            <w14:solidFill>
              <w14:schemeClr w14:val="tx1"/>
            </w14:solidFill>
          </w14:textFill>
        </w:rPr>
      </w:pPr>
      <w:bookmarkStart w:id="137" w:name="_Toc21515"/>
      <w:bookmarkStart w:id="138" w:name="_Toc22335"/>
      <w:bookmarkStart w:id="139" w:name="_Toc5876"/>
      <w:bookmarkStart w:id="140" w:name="_Toc9196"/>
      <w:bookmarkStart w:id="141" w:name="_Toc6351"/>
      <w:bookmarkStart w:id="142" w:name="_Toc20923"/>
      <w:bookmarkStart w:id="143" w:name="_Toc11369"/>
      <w:bookmarkStart w:id="144" w:name="_（三）专业资格的认定"/>
      <w:r>
        <w:rPr>
          <w:rFonts w:hint="eastAsia" w:ascii="楷体" w:hAnsi="楷体" w:eastAsia="楷体" w:cs="楷体"/>
          <w:color w:val="000000" w:themeColor="text1"/>
          <w:sz w:val="32"/>
          <w:szCs w:val="32"/>
          <w14:textFill>
            <w14:solidFill>
              <w14:schemeClr w14:val="tx1"/>
            </w14:solidFill>
          </w14:textFill>
        </w:rPr>
        <w:t>（三）专业资格的认定</w:t>
      </w:r>
      <w:bookmarkEnd w:id="137"/>
      <w:bookmarkEnd w:id="138"/>
      <w:bookmarkEnd w:id="139"/>
      <w:bookmarkEnd w:id="140"/>
      <w:bookmarkEnd w:id="141"/>
      <w:bookmarkEnd w:id="142"/>
      <w:bookmarkEnd w:id="143"/>
    </w:p>
    <w:bookmarkEnd w:id="144"/>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1.专业条件为“××类”的岗位，报考者所学专业须符合《专业指导目录》中“××类”下所列专业，专业条件为具体专业名称的，报考者所学专业须符合所列专业。</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专业条件要求“临床医学”专业的，含“临床医学”或“临床医学硕士”或“临床医学博士”专业，其他专业以此类推。</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2.岗位资格条件要求“专业方向”的，报考者须提供学历证、学位证、主干课程成绩表、论文发表情况、学校证明等有效凭证（下同），由招聘单位</w:t>
      </w:r>
      <w:r>
        <w:rPr>
          <w:rFonts w:hint="eastAsia" w:ascii="??_GB2312" w:eastAsia="Times New Roman"/>
          <w:color w:val="000000" w:themeColor="text1"/>
          <w:sz w:val="32"/>
          <w:szCs w:val="32"/>
          <w:lang w:eastAsia="zh-CN"/>
          <w14:textFill>
            <w14:solidFill>
              <w14:schemeClr w14:val="tx1"/>
            </w14:solidFill>
          </w14:textFill>
        </w:rPr>
        <w:t>会同厦门医学院</w:t>
      </w:r>
      <w:r>
        <w:rPr>
          <w:rFonts w:hint="eastAsia" w:ascii="??_GB2312" w:eastAsia="Times New Roman"/>
          <w:color w:val="000000" w:themeColor="text1"/>
          <w:sz w:val="32"/>
          <w:szCs w:val="32"/>
          <w14:textFill>
            <w14:solidFill>
              <w14:schemeClr w14:val="tx1"/>
            </w14:solidFill>
          </w14:textFill>
        </w:rPr>
        <w:t>认定。</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3.如报考者所学专业不在《专业指导目录》中但与拟报考岗位所需专业“相近、相似”的，报考者须参照上述佐证“专业方向”应提供的有效凭证，由招聘单位</w:t>
      </w:r>
      <w:r>
        <w:rPr>
          <w:rFonts w:hint="eastAsia" w:ascii="??_GB2312" w:eastAsia="Times New Roman"/>
          <w:color w:val="000000" w:themeColor="text1"/>
          <w:sz w:val="32"/>
          <w:szCs w:val="32"/>
          <w:lang w:eastAsia="zh-CN"/>
          <w14:textFill>
            <w14:solidFill>
              <w14:schemeClr w14:val="tx1"/>
            </w14:solidFill>
          </w14:textFill>
        </w:rPr>
        <w:t>审核后报厦门医学院</w:t>
      </w:r>
      <w:r>
        <w:rPr>
          <w:rFonts w:hint="eastAsia" w:ascii="??_GB2312" w:eastAsia="Times New Roman"/>
          <w:color w:val="000000" w:themeColor="text1"/>
          <w:sz w:val="32"/>
          <w:szCs w:val="32"/>
          <w14:textFill>
            <w14:solidFill>
              <w14:schemeClr w14:val="tx1"/>
            </w14:solidFill>
          </w14:textFill>
        </w:rPr>
        <w:t>认定。报考者所学专业在《专业指导目录》中但未列入岗位所需专业要求的，不得报考该岗位。</w:t>
      </w:r>
    </w:p>
    <w:p>
      <w:pPr>
        <w:pStyle w:val="2"/>
        <w:rPr>
          <w:rFonts w:ascii="黑体" w:hAnsi="黑体" w:eastAsia="黑体" w:cs="黑体"/>
          <w:color w:val="000000" w:themeColor="text1"/>
          <w:sz w:val="32"/>
          <w:szCs w:val="32"/>
          <w14:textFill>
            <w14:solidFill>
              <w14:schemeClr w14:val="tx1"/>
            </w14:solidFill>
          </w14:textFill>
        </w:rPr>
      </w:pPr>
      <w:bookmarkStart w:id="145" w:name="_Toc5985"/>
      <w:bookmarkStart w:id="146" w:name="_Toc26125"/>
      <w:bookmarkStart w:id="147" w:name="_Toc2928"/>
      <w:bookmarkStart w:id="148" w:name="_Toc10277"/>
      <w:bookmarkStart w:id="149" w:name="_Toc10327"/>
      <w:bookmarkStart w:id="150" w:name="_Toc19746"/>
      <w:bookmarkStart w:id="151" w:name="_Toc6797"/>
      <w:r>
        <w:rPr>
          <w:rFonts w:hint="eastAsia" w:ascii="黑体" w:hAnsi="黑体" w:eastAsia="黑体" w:cs="黑体"/>
          <w:color w:val="000000" w:themeColor="text1"/>
          <w:sz w:val="32"/>
          <w:szCs w:val="32"/>
          <w14:textFill>
            <w14:solidFill>
              <w14:schemeClr w14:val="tx1"/>
            </w14:solidFill>
          </w14:textFill>
        </w:rPr>
        <w:t>八、工作经验</w:t>
      </w:r>
      <w:bookmarkEnd w:id="145"/>
      <w:bookmarkEnd w:id="146"/>
      <w:bookmarkEnd w:id="147"/>
      <w:bookmarkEnd w:id="148"/>
      <w:bookmarkEnd w:id="149"/>
      <w:bookmarkEnd w:id="150"/>
      <w:r>
        <w:rPr>
          <w:rFonts w:hint="eastAsia" w:ascii="黑体" w:hAnsi="黑体" w:eastAsia="黑体" w:cs="黑体"/>
          <w:color w:val="000000" w:themeColor="text1"/>
          <w:sz w:val="32"/>
          <w:szCs w:val="32"/>
          <w14:textFill>
            <w14:solidFill>
              <w14:schemeClr w14:val="tx1"/>
            </w14:solidFill>
          </w14:textFill>
        </w:rPr>
        <w:t>认定</w:t>
      </w:r>
      <w:bookmarkEnd w:id="151"/>
    </w:p>
    <w:p>
      <w:pPr>
        <w:ind w:firstLine="640" w:firstLineChars="200"/>
        <w:rPr>
          <w:rFonts w:hint="eastAsia" w:ascii="??_GB2312" w:eastAsia="Times New Roman"/>
          <w:color w:val="000000" w:themeColor="text1"/>
          <w:sz w:val="32"/>
          <w:szCs w:val="32"/>
          <w14:textFill>
            <w14:solidFill>
              <w14:schemeClr w14:val="tx1"/>
            </w14:solidFill>
          </w14:textFill>
        </w:rPr>
      </w:pPr>
      <w:bookmarkStart w:id="152" w:name="_Toc11732"/>
      <w:bookmarkStart w:id="153" w:name="_Toc3985"/>
      <w:bookmarkStart w:id="154" w:name="_Toc13553"/>
      <w:bookmarkStart w:id="155" w:name="_Toc25407"/>
      <w:bookmarkStart w:id="156" w:name="_Toc3728"/>
      <w:bookmarkStart w:id="157" w:name="_Toc14918"/>
      <w:bookmarkStart w:id="158" w:name="_Toc20146"/>
      <w:r>
        <w:rPr>
          <w:rFonts w:hint="eastAsia" w:ascii="??_GB2312" w:eastAsia="Times New Roman"/>
          <w:color w:val="000000" w:themeColor="text1"/>
          <w:sz w:val="32"/>
          <w:szCs w:val="32"/>
          <w14:textFill>
            <w14:solidFill>
              <w14:schemeClr w14:val="tx1"/>
            </w14:solidFill>
          </w14:textFill>
        </w:rPr>
        <w:t>岗位资格条件要求“专业工作经验”的，报考者需提供养老保险缴费凭证或工资发放表等有效凭证、聘用(劳动)合同和所在单位出具的符合岗位资格条件要求的相关岗位的工作情况证明。全日制普通教育毕业生参加经人社部门核定的职业见习，若从事的工作与报考岗位要求的专业工作经验相关，其毕业后的职业见习年限可视同工作经验年限。</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不同单位的相同（似）工作经验证明可分别开具，工作年限可累计计算。</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全日制普通教育期间的社会实践经历(含兼职工作等)，不能视为工作经验。</w:t>
      </w:r>
    </w:p>
    <w:p>
      <w:pPr>
        <w:pStyle w:val="2"/>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九、笔试加分</w:t>
      </w:r>
      <w:bookmarkEnd w:id="152"/>
      <w:bookmarkEnd w:id="153"/>
      <w:bookmarkEnd w:id="154"/>
      <w:bookmarkEnd w:id="155"/>
      <w:bookmarkEnd w:id="156"/>
      <w:bookmarkEnd w:id="157"/>
      <w:bookmarkEnd w:id="158"/>
    </w:p>
    <w:p>
      <w:pPr>
        <w:pStyle w:val="2"/>
        <w:rPr>
          <w:rFonts w:ascii="楷体" w:hAnsi="楷体" w:eastAsia="楷体" w:cs="楷体"/>
          <w:color w:val="000000" w:themeColor="text1"/>
          <w:sz w:val="32"/>
          <w:szCs w:val="32"/>
          <w14:textFill>
            <w14:solidFill>
              <w14:schemeClr w14:val="tx1"/>
            </w14:solidFill>
          </w14:textFill>
        </w:rPr>
      </w:pPr>
      <w:bookmarkStart w:id="159" w:name="_Toc24269"/>
      <w:bookmarkStart w:id="160" w:name="_Toc1343"/>
      <w:bookmarkStart w:id="161" w:name="_Toc29712"/>
      <w:bookmarkStart w:id="162" w:name="_Toc31605"/>
      <w:bookmarkStart w:id="163" w:name="_Toc8544"/>
      <w:bookmarkStart w:id="164" w:name="_Toc15513"/>
      <w:bookmarkStart w:id="165" w:name="_Toc30306"/>
      <w:bookmarkStart w:id="166" w:name="_（一）加分原则"/>
      <w:r>
        <w:rPr>
          <w:rFonts w:hint="eastAsia" w:ascii="楷体" w:hAnsi="楷体" w:eastAsia="楷体" w:cs="楷体"/>
          <w:color w:val="000000" w:themeColor="text1"/>
          <w:sz w:val="32"/>
          <w:szCs w:val="32"/>
          <w14:textFill>
            <w14:solidFill>
              <w14:schemeClr w14:val="tx1"/>
            </w14:solidFill>
          </w14:textFill>
        </w:rPr>
        <w:t>（一）加分原则</w:t>
      </w:r>
      <w:bookmarkEnd w:id="159"/>
      <w:bookmarkEnd w:id="160"/>
      <w:bookmarkEnd w:id="161"/>
      <w:bookmarkEnd w:id="162"/>
      <w:bookmarkEnd w:id="163"/>
      <w:bookmarkEnd w:id="164"/>
      <w:bookmarkEnd w:id="165"/>
    </w:p>
    <w:bookmarkEnd w:id="166"/>
    <w:p>
      <w:pPr>
        <w:ind w:firstLine="640" w:firstLineChars="200"/>
        <w:rPr>
          <w:rFonts w:hint="eastAsia" w:ascii="??_GB2312" w:eastAsia="Times New Roman"/>
          <w:color w:val="000000" w:themeColor="text1"/>
          <w:sz w:val="32"/>
          <w:szCs w:val="32"/>
          <w14:textFill>
            <w14:solidFill>
              <w14:schemeClr w14:val="tx1"/>
            </w14:solidFill>
          </w14:textFill>
        </w:rPr>
      </w:pPr>
      <w:bookmarkStart w:id="167" w:name="_Toc7079"/>
      <w:bookmarkStart w:id="168" w:name="_Toc10919"/>
      <w:bookmarkStart w:id="169" w:name="_Toc12207"/>
      <w:bookmarkStart w:id="170" w:name="_Toc16321"/>
      <w:bookmarkStart w:id="171" w:name="_Toc10411"/>
      <w:bookmarkStart w:id="172" w:name="_Toc1319"/>
      <w:bookmarkStart w:id="173" w:name="_Toc9001"/>
      <w:r>
        <w:rPr>
          <w:rFonts w:hint="eastAsia" w:ascii="??_GB2312" w:eastAsia="Times New Roman"/>
          <w:color w:val="000000" w:themeColor="text1"/>
          <w:sz w:val="32"/>
          <w:szCs w:val="32"/>
          <w14:textFill>
            <w14:solidFill>
              <w14:schemeClr w14:val="tx1"/>
            </w14:solidFill>
          </w14:textFill>
        </w:rPr>
        <w:t>笔试成绩=笔试卷面分+加分。</w:t>
      </w:r>
    </w:p>
    <w:p>
      <w:pPr>
        <w:ind w:firstLine="640" w:firstLineChars="200"/>
        <w:rPr>
          <w:rFonts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加分仅限于笔试卷面分，免笔试人员在面试环节不享受加分。加分不受笔试满分限制。各项加分可累计计算，但累计最高不超过10分。曾通过享受政策待遇被录（聘）为公务员或事业单位编内工作人员的，不再享受相应项目的加分。</w:t>
      </w:r>
    </w:p>
    <w:p>
      <w:pPr>
        <w:pStyle w:val="2"/>
        <w:rPr>
          <w:rFonts w:ascii="楷体" w:hAnsi="楷体" w:eastAsia="楷体" w:cs="楷体"/>
          <w:color w:val="000000" w:themeColor="text1"/>
          <w:sz w:val="32"/>
          <w:szCs w:val="32"/>
          <w14:textFill>
            <w14:solidFill>
              <w14:schemeClr w14:val="tx1"/>
            </w14:solidFill>
          </w14:textFill>
        </w:rPr>
      </w:pPr>
      <w:bookmarkStart w:id="174" w:name="_（二）加分政策"/>
      <w:r>
        <w:rPr>
          <w:rFonts w:hint="eastAsia" w:ascii="楷体" w:hAnsi="楷体" w:eastAsia="楷体" w:cs="楷体"/>
          <w:color w:val="000000" w:themeColor="text1"/>
          <w:sz w:val="32"/>
          <w:szCs w:val="32"/>
          <w14:textFill>
            <w14:solidFill>
              <w14:schemeClr w14:val="tx1"/>
            </w14:solidFill>
          </w14:textFill>
        </w:rPr>
        <w:t>（二）加分政策</w:t>
      </w:r>
      <w:bookmarkEnd w:id="167"/>
      <w:bookmarkEnd w:id="168"/>
      <w:bookmarkEnd w:id="169"/>
      <w:bookmarkEnd w:id="170"/>
      <w:bookmarkEnd w:id="171"/>
      <w:bookmarkEnd w:id="172"/>
      <w:bookmarkEnd w:id="173"/>
    </w:p>
    <w:bookmarkEnd w:id="174"/>
    <w:p>
      <w:pPr>
        <w:ind w:firstLine="640" w:firstLineChars="200"/>
        <w:rPr>
          <w:rFonts w:hint="eastAsia" w:ascii="??_GB2312" w:eastAsia="Times New Roman"/>
          <w:color w:val="000000" w:themeColor="text1"/>
          <w:sz w:val="32"/>
          <w:szCs w:val="32"/>
          <w14:textFill>
            <w14:solidFill>
              <w14:schemeClr w14:val="tx1"/>
            </w14:solidFill>
          </w14:textFill>
        </w:rPr>
      </w:pPr>
      <w:bookmarkStart w:id="175" w:name="_Toc18359_WPSOffice_Level1"/>
      <w:bookmarkStart w:id="176" w:name="_Toc5722"/>
      <w:bookmarkStart w:id="177" w:name="_Toc1601"/>
      <w:bookmarkStart w:id="178" w:name="_Toc29002"/>
      <w:bookmarkStart w:id="179" w:name="_Toc25623"/>
      <w:bookmarkStart w:id="180" w:name="_Toc25367"/>
      <w:bookmarkStart w:id="181" w:name="_Toc7131"/>
      <w:bookmarkStart w:id="182" w:name="_Toc3536"/>
      <w:r>
        <w:rPr>
          <w:rFonts w:hint="eastAsia" w:ascii="??_GB2312" w:eastAsia="Times New Roman"/>
          <w:color w:val="000000" w:themeColor="text1"/>
          <w:sz w:val="32"/>
          <w:szCs w:val="32"/>
          <w14:textFill>
            <w14:solidFill>
              <w14:schemeClr w14:val="tx1"/>
            </w14:solidFill>
          </w14:textFill>
        </w:rPr>
        <w:t>符合加分政策的报考者享受笔试加分待遇：</w:t>
      </w:r>
    </w:p>
    <w:p>
      <w:pPr>
        <w:ind w:left="643"/>
        <w:outlineLvl w:val="2"/>
        <w:rPr>
          <w:rFonts w:ascii="楷体" w:hAnsi="楷体" w:eastAsia="楷体" w:cs="楷体"/>
          <w:b/>
          <w:bCs/>
          <w:color w:val="000000" w:themeColor="text1"/>
          <w:sz w:val="32"/>
          <w:szCs w:val="32"/>
          <w14:textFill>
            <w14:solidFill>
              <w14:schemeClr w14:val="tx1"/>
            </w14:solidFill>
          </w14:textFill>
        </w:rPr>
      </w:pPr>
      <w:bookmarkStart w:id="183" w:name="_Toc21369"/>
      <w:r>
        <w:rPr>
          <w:rFonts w:ascii="楷体" w:hAnsi="楷体" w:eastAsia="楷体" w:cs="楷体"/>
          <w:b/>
          <w:bCs/>
          <w:color w:val="000000" w:themeColor="text1"/>
          <w:sz w:val="32"/>
          <w:szCs w:val="32"/>
          <w14:textFill>
            <w14:solidFill>
              <w14:schemeClr w14:val="tx1"/>
            </w14:solidFill>
          </w14:textFill>
        </w:rPr>
        <w:t>1.</w:t>
      </w:r>
      <w:r>
        <w:rPr>
          <w:rFonts w:hint="eastAsia" w:ascii="楷体" w:hAnsi="楷体" w:eastAsia="楷体" w:cs="楷体"/>
          <w:b/>
          <w:bCs/>
          <w:color w:val="000000" w:themeColor="text1"/>
          <w:sz w:val="32"/>
          <w:szCs w:val="32"/>
          <w14:textFill>
            <w14:solidFill>
              <w14:schemeClr w14:val="tx1"/>
            </w14:solidFill>
          </w14:textFill>
        </w:rPr>
        <w:t>服务基层项目高校毕业人员</w:t>
      </w:r>
      <w:bookmarkEnd w:id="183"/>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参加国家和福建省组织实施的“三支一扶”计划、“志愿服务西部计划”（含研究生支教团）、“志愿服务欠发达地区计划”、大学生“村官”和“服务社区计划”，服务期限为1年及以上且于报名截止日前期满考核合格的福建户籍或福建生源高校毕业人员：服务期限2年及以上且期满考核合格的，报考市属事业单位笔试卷面分加3分，报考区属事业单位笔试卷面分加5分；服务期限1年及以上不满2年且期满考核合格的，报考市属事业单位不加分，报考区属事业单位笔试卷面分加5分。</w:t>
      </w:r>
    </w:p>
    <w:p>
      <w:pPr>
        <w:ind w:left="643"/>
        <w:outlineLvl w:val="2"/>
        <w:rPr>
          <w:rFonts w:ascii="楷体" w:hAnsi="楷体" w:eastAsia="楷体" w:cs="楷体"/>
          <w:b/>
          <w:bCs/>
          <w:color w:val="000000" w:themeColor="text1"/>
          <w:sz w:val="32"/>
          <w:szCs w:val="32"/>
          <w14:textFill>
            <w14:solidFill>
              <w14:schemeClr w14:val="tx1"/>
            </w14:solidFill>
          </w14:textFill>
        </w:rPr>
      </w:pPr>
      <w:bookmarkStart w:id="184" w:name="_Toc32263"/>
      <w:r>
        <w:rPr>
          <w:rFonts w:ascii="楷体" w:hAnsi="楷体" w:eastAsia="楷体" w:cs="楷体"/>
          <w:b/>
          <w:bCs/>
          <w:color w:val="000000" w:themeColor="text1"/>
          <w:sz w:val="32"/>
          <w:szCs w:val="32"/>
          <w14:textFill>
            <w14:solidFill>
              <w14:schemeClr w14:val="tx1"/>
            </w14:solidFill>
          </w14:textFill>
        </w:rPr>
        <w:t>2.</w:t>
      </w:r>
      <w:r>
        <w:rPr>
          <w:rFonts w:hint="eastAsia" w:ascii="楷体" w:hAnsi="楷体" w:eastAsia="楷体" w:cs="楷体"/>
          <w:b/>
          <w:bCs/>
          <w:color w:val="000000" w:themeColor="text1"/>
          <w:sz w:val="32"/>
          <w:szCs w:val="32"/>
          <w14:textFill>
            <w14:solidFill>
              <w14:schemeClr w14:val="tx1"/>
            </w14:solidFill>
          </w14:textFill>
        </w:rPr>
        <w:t>退役士兵（含大学生退役士兵）</w:t>
      </w:r>
      <w:bookmarkEnd w:id="184"/>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由福建省兵役机关批准入伍或福建生源的退役士兵（在福建省外应征入伍，但已于报名截止日前取得福建户籍的可参照），可享受以下笔试卷面分加分：服役满13年以上的加8分;服役满9年至12年的加6分;服役满6年至8年的加4分;服役满3年至5年的加2分;荣立二等功及以上的另加3分/次;荣立三等功的另加2分/次;获得优秀士官或优秀士兵或优秀义务兵荣誉称号的另加1分/次;伤残士兵另加3分;对在边防、高原、海岛等艰苦地区或从事飞行、舰艇工作5年及以上的，除享受以上加分外可再加3分；全日制普通教育大专以上学历学生在校期间应征入伍且退役后继续完成学业的，毕业后加5分；全日制普通教育大专以上学历毕业生应征入伍的，退役后加5分。</w:t>
      </w:r>
    </w:p>
    <w:p>
      <w:pPr>
        <w:ind w:left="643"/>
        <w:outlineLvl w:val="2"/>
        <w:rPr>
          <w:rFonts w:ascii="楷体" w:hAnsi="楷体" w:eastAsia="楷体" w:cs="楷体"/>
          <w:b/>
          <w:bCs/>
          <w:color w:val="000000" w:themeColor="text1"/>
          <w:sz w:val="32"/>
          <w:szCs w:val="32"/>
          <w14:textFill>
            <w14:solidFill>
              <w14:schemeClr w14:val="tx1"/>
            </w14:solidFill>
          </w14:textFill>
        </w:rPr>
      </w:pPr>
      <w:bookmarkStart w:id="185" w:name="_Toc28909"/>
      <w:r>
        <w:rPr>
          <w:rFonts w:ascii="楷体" w:hAnsi="楷体" w:eastAsia="楷体" w:cs="楷体"/>
          <w:b/>
          <w:bCs/>
          <w:color w:val="000000" w:themeColor="text1"/>
          <w:sz w:val="32"/>
          <w:szCs w:val="32"/>
          <w14:textFill>
            <w14:solidFill>
              <w14:schemeClr w14:val="tx1"/>
            </w14:solidFill>
          </w14:textFill>
        </w:rPr>
        <w:t>3.</w:t>
      </w:r>
      <w:r>
        <w:rPr>
          <w:rFonts w:hint="eastAsia" w:ascii="楷体" w:hAnsi="楷体" w:eastAsia="楷体" w:cs="楷体"/>
          <w:b/>
          <w:bCs/>
          <w:color w:val="000000" w:themeColor="text1"/>
          <w:sz w:val="32"/>
          <w:szCs w:val="32"/>
          <w14:textFill>
            <w14:solidFill>
              <w14:schemeClr w14:val="tx1"/>
            </w14:solidFill>
          </w14:textFill>
        </w:rPr>
        <w:t>退役优秀运动员</w:t>
      </w:r>
      <w:bookmarkEnd w:id="185"/>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厦门市退役优秀运动员，可享受以下笔试卷面分加分：曾获得世界体育三大比赛（奥运会、世锦赛、世界杯）第2至第6名，亚洲体育三大比赛（亚运会、亚锦赛、亚洲杯）或全运会第2或第3名，全国锦标赛、全国冠军赛或篮球、排球、足球全国职业联赛第1名的，加9分；曾获得省运动会冠军，全国锦标赛、全国冠军赛或篮球、排球、足球全国职业联赛第2或第3名，亚洲体育三大比赛（亚运会、亚锦赛、亚洲杯）第4至第6名的，加7分。</w:t>
      </w:r>
    </w:p>
    <w:p>
      <w:pPr>
        <w:pStyle w:val="2"/>
        <w:rPr>
          <w:rFonts w:ascii="楷体" w:hAnsi="楷体" w:eastAsia="楷体" w:cs="楷体"/>
          <w:color w:val="000000" w:themeColor="text1"/>
          <w:sz w:val="32"/>
          <w:szCs w:val="32"/>
          <w14:textFill>
            <w14:solidFill>
              <w14:schemeClr w14:val="tx1"/>
            </w14:solidFill>
          </w14:textFill>
        </w:rPr>
      </w:pPr>
      <w:bookmarkStart w:id="186" w:name="_Toc5497"/>
      <w:bookmarkStart w:id="187" w:name="_Toc25623_WPSOffice_Level2"/>
      <w:bookmarkStart w:id="188" w:name="_Toc31621"/>
      <w:bookmarkStart w:id="189" w:name="_Toc7835"/>
      <w:bookmarkStart w:id="190" w:name="_Toc12555"/>
      <w:bookmarkStart w:id="191" w:name="_Toc3504"/>
      <w:bookmarkStart w:id="192" w:name="_Toc19099"/>
      <w:bookmarkStart w:id="193" w:name="_Toc8388"/>
      <w:bookmarkStart w:id="194" w:name="_Toc17257"/>
      <w:bookmarkStart w:id="195" w:name="_（三）加分证明"/>
      <w:r>
        <w:rPr>
          <w:rFonts w:hint="eastAsia" w:ascii="楷体" w:hAnsi="楷体" w:eastAsia="楷体" w:cs="楷体"/>
          <w:color w:val="000000" w:themeColor="text1"/>
          <w:sz w:val="32"/>
          <w:szCs w:val="32"/>
          <w14:textFill>
            <w14:solidFill>
              <w14:schemeClr w14:val="tx1"/>
            </w14:solidFill>
          </w14:textFill>
        </w:rPr>
        <w:t>（三）加分证明</w:t>
      </w:r>
      <w:bookmarkEnd w:id="186"/>
      <w:bookmarkEnd w:id="187"/>
      <w:bookmarkEnd w:id="188"/>
      <w:bookmarkEnd w:id="189"/>
      <w:bookmarkEnd w:id="190"/>
      <w:bookmarkEnd w:id="191"/>
      <w:bookmarkEnd w:id="192"/>
      <w:bookmarkEnd w:id="193"/>
      <w:bookmarkEnd w:id="194"/>
    </w:p>
    <w:bookmarkEnd w:id="195"/>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符合加分政策的报考者须在报名时如实填报和上传加分证明资料，并于报名期间向招聘单位提交（提交方式请与招聘单位联系）以下资料的原件及复印件（复印件需依序装订成册，一式2份），否则视为自动放弃享受加分政策：</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1.基本资料：本人有效身份证正反面、户口本首页及个人页、学历（位）证；</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2.证明资料：</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（1）服务基层项目毕业生需提交组织实施相应项目的机构出具的服务基层期满考核合格证书（或服务期满考核合格材料）及福建户籍或福建生源证明材料。</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2）符合加分政策的退役士兵（含大学生退役士兵）安置在厦门市的，可于上班时间持身份证、退伍证前往厦门市退役军人事务局移交安置与就业创业处开具证明材料（联系电话0592-2226263）；安置在厦门市以外的，可由安置地县级及以上退役军人事务部门开具证明。</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（3）符合加分政策的我市退役优秀运动员可持相应奖项证书前往厦门市体育局人事处开具证明材料(联系电话0592-5339323)。</w:t>
      </w:r>
    </w:p>
    <w:p>
      <w:pPr>
        <w:pStyle w:val="2"/>
        <w:rPr>
          <w:rFonts w:ascii="黑体" w:hAnsi="黑体" w:eastAsia="黑体" w:cs="黑体"/>
          <w:color w:val="000000" w:themeColor="text1"/>
          <w:sz w:val="32"/>
          <w:szCs w:val="32"/>
          <w14:textFill>
            <w14:solidFill>
              <w14:schemeClr w14:val="tx1"/>
            </w14:solidFill>
          </w14:textFill>
        </w:rPr>
      </w:pPr>
      <w:bookmarkStart w:id="196" w:name="_十、体检"/>
      <w:r>
        <w:rPr>
          <w:rFonts w:hint="eastAsia" w:ascii="黑体" w:hAnsi="黑体" w:eastAsia="黑体" w:cs="黑体"/>
          <w:color w:val="000000" w:themeColor="text1"/>
          <w:sz w:val="32"/>
          <w:szCs w:val="32"/>
          <w14:textFill>
            <w14:solidFill>
              <w14:schemeClr w14:val="tx1"/>
            </w14:solidFill>
          </w14:textFill>
        </w:rPr>
        <w:t>十、</w:t>
      </w:r>
      <w:bookmarkEnd w:id="175"/>
      <w:r>
        <w:rPr>
          <w:rFonts w:hint="eastAsia" w:ascii="黑体" w:hAnsi="黑体" w:eastAsia="黑体" w:cs="黑体"/>
          <w:color w:val="000000" w:themeColor="text1"/>
          <w:sz w:val="32"/>
          <w:szCs w:val="32"/>
          <w14:textFill>
            <w14:solidFill>
              <w14:schemeClr w14:val="tx1"/>
            </w14:solidFill>
          </w14:textFill>
        </w:rPr>
        <w:t>体检</w:t>
      </w:r>
      <w:bookmarkEnd w:id="176"/>
      <w:bookmarkEnd w:id="177"/>
      <w:bookmarkEnd w:id="178"/>
      <w:bookmarkEnd w:id="179"/>
      <w:bookmarkEnd w:id="180"/>
      <w:bookmarkEnd w:id="181"/>
      <w:bookmarkEnd w:id="182"/>
    </w:p>
    <w:bookmarkEnd w:id="196"/>
    <w:p>
      <w:pPr>
        <w:pStyle w:val="2"/>
        <w:rPr>
          <w:rFonts w:ascii="楷体" w:hAnsi="楷体" w:eastAsia="楷体" w:cs="楷体"/>
          <w:color w:val="000000" w:themeColor="text1"/>
          <w:sz w:val="32"/>
          <w:szCs w:val="32"/>
          <w14:textFill>
            <w14:solidFill>
              <w14:schemeClr w14:val="tx1"/>
            </w14:solidFill>
          </w14:textFill>
        </w:rPr>
      </w:pPr>
      <w:bookmarkStart w:id="197" w:name="_Toc19599"/>
      <w:bookmarkStart w:id="198" w:name="_Toc32234"/>
      <w:bookmarkStart w:id="199" w:name="_Toc27716"/>
      <w:bookmarkStart w:id="200" w:name="_Toc27514"/>
      <w:bookmarkStart w:id="201" w:name="_Toc27190"/>
      <w:bookmarkStart w:id="202" w:name="_Toc28695"/>
      <w:bookmarkStart w:id="203" w:name="_Toc3"/>
      <w:bookmarkStart w:id="204" w:name="_（一）确定人选"/>
      <w:r>
        <w:rPr>
          <w:rFonts w:hint="eastAsia" w:ascii="楷体" w:hAnsi="楷体" w:eastAsia="楷体" w:cs="楷体"/>
          <w:color w:val="000000" w:themeColor="text1"/>
          <w:sz w:val="32"/>
          <w:szCs w:val="32"/>
          <w14:textFill>
            <w14:solidFill>
              <w14:schemeClr w14:val="tx1"/>
            </w14:solidFill>
          </w14:textFill>
        </w:rPr>
        <w:t>（一）确定人选</w:t>
      </w:r>
      <w:bookmarkEnd w:id="197"/>
      <w:bookmarkEnd w:id="198"/>
      <w:bookmarkEnd w:id="199"/>
      <w:bookmarkEnd w:id="200"/>
      <w:bookmarkEnd w:id="201"/>
      <w:bookmarkEnd w:id="202"/>
      <w:bookmarkEnd w:id="203"/>
    </w:p>
    <w:bookmarkEnd w:id="204"/>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体检人选由从笔试、面试成绩均合格者中，根据综合总分排名，按岗位拟聘人数1:1的比例从高分至低分确定。如遇综合总分相同，按以下规则进一步确定名次排列：</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1.按笔试成绩从高到低排列；</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2.笔试成绩又相同，按面试成绩排列；</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3.面试成绩依然相同，符合国家、福建省或厦门市文件规定优先对象的，优先进入体检。若无优先对象或存在2名（含）以上优先对象，可由考生在协商一致的情况下签名同意自行采取简易方式确定最终进入体检环节人选，或经招聘单位同意加试一场面试，取重新面试成绩较高者进入体检。</w:t>
      </w:r>
    </w:p>
    <w:p>
      <w:pPr>
        <w:pStyle w:val="2"/>
        <w:rPr>
          <w:rFonts w:ascii="楷体" w:hAnsi="楷体" w:eastAsia="楷体" w:cs="楷体"/>
          <w:color w:val="000000" w:themeColor="text1"/>
          <w:sz w:val="32"/>
          <w:szCs w:val="32"/>
          <w14:textFill>
            <w14:solidFill>
              <w14:schemeClr w14:val="tx1"/>
            </w14:solidFill>
          </w14:textFill>
        </w:rPr>
      </w:pPr>
      <w:bookmarkStart w:id="205" w:name="_Toc17027"/>
      <w:bookmarkStart w:id="206" w:name="_Toc5078"/>
      <w:bookmarkStart w:id="207" w:name="_Toc29898"/>
      <w:bookmarkStart w:id="208" w:name="_Toc28613"/>
      <w:bookmarkStart w:id="209" w:name="_Toc15471"/>
      <w:bookmarkStart w:id="210" w:name="_Toc31894"/>
      <w:bookmarkStart w:id="211" w:name="_Toc25487"/>
      <w:r>
        <w:rPr>
          <w:rFonts w:hint="eastAsia" w:ascii="楷体" w:hAnsi="楷体" w:eastAsia="楷体" w:cs="楷体"/>
          <w:color w:val="000000" w:themeColor="text1"/>
          <w:sz w:val="32"/>
          <w:szCs w:val="32"/>
          <w14:textFill>
            <w14:solidFill>
              <w14:schemeClr w14:val="tx1"/>
            </w14:solidFill>
          </w14:textFill>
        </w:rPr>
        <w:t>（二）组织体检</w:t>
      </w:r>
      <w:bookmarkEnd w:id="205"/>
      <w:bookmarkEnd w:id="206"/>
      <w:bookmarkEnd w:id="207"/>
      <w:bookmarkEnd w:id="208"/>
      <w:bookmarkEnd w:id="209"/>
      <w:bookmarkEnd w:id="210"/>
      <w:bookmarkEnd w:id="211"/>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体检由招聘单位组织实施。体检人员应根据招聘单位通知要求按时参加并配合体检，否则视为自动放弃体检资格。</w:t>
      </w:r>
    </w:p>
    <w:p>
      <w:pPr>
        <w:pStyle w:val="2"/>
        <w:rPr>
          <w:rFonts w:ascii="楷体" w:hAnsi="楷体" w:eastAsia="楷体" w:cs="楷体"/>
          <w:color w:val="000000" w:themeColor="text1"/>
          <w:sz w:val="32"/>
          <w:szCs w:val="32"/>
          <w14:textFill>
            <w14:solidFill>
              <w14:schemeClr w14:val="tx1"/>
            </w14:solidFill>
          </w14:textFill>
        </w:rPr>
      </w:pPr>
      <w:bookmarkStart w:id="212" w:name="_Toc21764"/>
      <w:bookmarkStart w:id="213" w:name="_Toc14139"/>
      <w:bookmarkStart w:id="214" w:name="_Toc5442"/>
      <w:bookmarkStart w:id="215" w:name="_Toc30279"/>
      <w:bookmarkStart w:id="216" w:name="_Toc8135"/>
      <w:bookmarkStart w:id="217" w:name="_Toc12596"/>
      <w:bookmarkStart w:id="218" w:name="_Toc20421"/>
      <w:bookmarkStart w:id="219" w:name="_（三）体检依据"/>
      <w:r>
        <w:rPr>
          <w:rFonts w:hint="eastAsia" w:ascii="楷体" w:hAnsi="楷体" w:eastAsia="楷体" w:cs="楷体"/>
          <w:color w:val="000000" w:themeColor="text1"/>
          <w:sz w:val="32"/>
          <w:szCs w:val="32"/>
          <w14:textFill>
            <w14:solidFill>
              <w14:schemeClr w14:val="tx1"/>
            </w14:solidFill>
          </w14:textFill>
        </w:rPr>
        <w:t>（三）体检依据</w:t>
      </w:r>
      <w:bookmarkEnd w:id="212"/>
      <w:bookmarkEnd w:id="213"/>
      <w:bookmarkEnd w:id="214"/>
      <w:bookmarkEnd w:id="215"/>
      <w:bookmarkEnd w:id="216"/>
      <w:bookmarkEnd w:id="217"/>
      <w:bookmarkEnd w:id="218"/>
    </w:p>
    <w:bookmarkEnd w:id="219"/>
    <w:p>
      <w:pPr>
        <w:ind w:firstLine="640" w:firstLineChars="200"/>
        <w:rPr>
          <w:rFonts w:hint="eastAsia" w:ascii="??_GB2312" w:eastAsia="Times New Roman"/>
          <w:color w:val="000000" w:themeColor="text1"/>
          <w:sz w:val="32"/>
          <w:szCs w:val="32"/>
          <w14:textFill>
            <w14:solidFill>
              <w14:schemeClr w14:val="tx1"/>
            </w14:solidFill>
          </w14:textFill>
        </w:rPr>
      </w:pPr>
      <w:bookmarkStart w:id="220" w:name="_Toc23446"/>
      <w:bookmarkStart w:id="221" w:name="_Toc16484"/>
      <w:bookmarkStart w:id="222" w:name="_Toc16762"/>
      <w:bookmarkStart w:id="223" w:name="_Toc30928"/>
      <w:bookmarkStart w:id="224" w:name="_Toc13211"/>
      <w:bookmarkStart w:id="225" w:name="_Toc29748"/>
      <w:bookmarkStart w:id="226" w:name="_Toc13607"/>
      <w:r>
        <w:rPr>
          <w:rFonts w:hint="eastAsia" w:ascii="??_GB2312" w:eastAsia="Times New Roman"/>
          <w:color w:val="000000" w:themeColor="text1"/>
          <w:sz w:val="32"/>
          <w:szCs w:val="32"/>
          <w14:textFill>
            <w14:solidFill>
              <w14:schemeClr w14:val="tx1"/>
            </w14:solidFill>
          </w14:textFill>
        </w:rPr>
        <w:t>本次招聘体检参照《公务员录用体检通用标准（试行）》和《公务员录用体检操作手册（试行）》和《关于修订〈公务员录用体检通用标准（试行）〉及〈公务员录用体检操作手册（试行）〉的通知》（人社部发〔2016〕140号）等文件的要求，具体检测方法由体检医院结合实际确定。</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从事放射岗位人员还需根据《放射工作人员职业健康监护技术规范》（卫通〔2011〕2号）完成岗前必检项目的体检。从事医学检验岗位人员体检结果还应满足《公务员录用体检特殊标准（试行）》（人社部发〔2010〕82号）对身体条件的要求。厦门市中心血站采供血护士、检验技师1和检验技师2岗位体检人员需符合《血站质量管理规范》要求。</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体（复）检费用个人自理。</w:t>
      </w:r>
    </w:p>
    <w:p>
      <w:pPr>
        <w:pStyle w:val="2"/>
        <w:rPr>
          <w:rFonts w:ascii="楷体" w:hAnsi="楷体" w:eastAsia="楷体" w:cs="楷体"/>
          <w:color w:val="000000" w:themeColor="text1"/>
          <w:sz w:val="32"/>
          <w:szCs w:val="32"/>
          <w14:textFill>
            <w14:solidFill>
              <w14:schemeClr w14:val="tx1"/>
            </w14:solidFill>
          </w14:textFill>
        </w:rPr>
      </w:pPr>
      <w:bookmarkStart w:id="227" w:name="_（四）体检复检"/>
      <w:r>
        <w:rPr>
          <w:rFonts w:hint="eastAsia" w:ascii="楷体" w:hAnsi="楷体" w:eastAsia="楷体" w:cs="楷体"/>
          <w:color w:val="000000" w:themeColor="text1"/>
          <w:sz w:val="32"/>
          <w:szCs w:val="32"/>
          <w14:textFill>
            <w14:solidFill>
              <w14:schemeClr w14:val="tx1"/>
            </w14:solidFill>
          </w14:textFill>
        </w:rPr>
        <w:t>（四）体检复检</w:t>
      </w:r>
      <w:bookmarkEnd w:id="220"/>
      <w:bookmarkEnd w:id="221"/>
      <w:bookmarkEnd w:id="222"/>
      <w:bookmarkEnd w:id="223"/>
      <w:bookmarkEnd w:id="224"/>
      <w:bookmarkEnd w:id="225"/>
      <w:bookmarkEnd w:id="226"/>
    </w:p>
    <w:bookmarkEnd w:id="227"/>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复检参照人力资源社会保障部、卫生部、国家公务员局《关于进一步做好公务员考试录用体检工作的通知》(人社部发〔2012〕65号)的有关规定执行，其中：</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1. 对心率、视力、听力、血压等项目达不到体检合格标准的，安排当日复检；对边缘性心脏杂音、病理性心电图、病理性杂音、频发早搏（心电图证实）等项目达不到体检合格标准的，安排当场复检。</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2.体检人员对非当日或非当场复检的体检项目结果有疑义的，可在接到体检结论的7日内提出复检申请，由</w:t>
      </w:r>
      <w:r>
        <w:rPr>
          <w:rFonts w:hint="eastAsia" w:ascii="??_GB2312" w:eastAsia="Times New Roman"/>
          <w:color w:val="000000" w:themeColor="text1"/>
          <w:sz w:val="32"/>
          <w:szCs w:val="32"/>
          <w:lang w:eastAsia="zh-CN"/>
          <w14:textFill>
            <w14:solidFill>
              <w14:schemeClr w14:val="tx1"/>
            </w14:solidFill>
          </w14:textFill>
        </w:rPr>
        <w:t>招聘单位</w:t>
      </w:r>
      <w:r>
        <w:rPr>
          <w:rFonts w:hint="eastAsia" w:ascii="??_GB2312" w:eastAsia="Times New Roman"/>
          <w:color w:val="000000" w:themeColor="text1"/>
          <w:sz w:val="32"/>
          <w:szCs w:val="32"/>
          <w14:textFill>
            <w14:solidFill>
              <w14:schemeClr w14:val="tx1"/>
            </w14:solidFill>
          </w14:textFill>
        </w:rPr>
        <w:t>另行指定医院复检。复检时不得告知复检项目。复检只能进行1次，体检结论以复检的结果为准。自行体检的结果一律无效。</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3.招聘单位对体检人员体检结论有疑义的，也可在接到体检结论通知之日起7日内决定是否安排体检人员复检。</w:t>
      </w:r>
    </w:p>
    <w:p>
      <w:pPr>
        <w:pStyle w:val="2"/>
        <w:rPr>
          <w:rFonts w:ascii="楷体" w:hAnsi="楷体" w:eastAsia="楷体" w:cs="楷体"/>
          <w:color w:val="000000" w:themeColor="text1"/>
          <w:sz w:val="32"/>
          <w:szCs w:val="32"/>
          <w14:textFill>
            <w14:solidFill>
              <w14:schemeClr w14:val="tx1"/>
            </w14:solidFill>
          </w14:textFill>
        </w:rPr>
      </w:pPr>
      <w:bookmarkStart w:id="228" w:name="_Toc739"/>
      <w:bookmarkStart w:id="229" w:name="_Toc11349"/>
      <w:bookmarkStart w:id="230" w:name="_Toc8084"/>
      <w:bookmarkStart w:id="231" w:name="_Toc647"/>
      <w:bookmarkStart w:id="232" w:name="_Toc4346"/>
      <w:bookmarkStart w:id="233" w:name="_Toc32448"/>
      <w:bookmarkStart w:id="234" w:name="_Toc28126"/>
      <w:r>
        <w:rPr>
          <w:rFonts w:hint="eastAsia" w:ascii="楷体" w:hAnsi="楷体" w:eastAsia="楷体" w:cs="楷体"/>
          <w:color w:val="000000" w:themeColor="text1"/>
          <w:sz w:val="32"/>
          <w:szCs w:val="32"/>
          <w14:textFill>
            <w14:solidFill>
              <w14:schemeClr w14:val="tx1"/>
            </w14:solidFill>
          </w14:textFill>
        </w:rPr>
        <w:t>（五）可延迟体检的情形</w:t>
      </w:r>
      <w:bookmarkEnd w:id="228"/>
      <w:bookmarkEnd w:id="229"/>
      <w:bookmarkEnd w:id="230"/>
      <w:bookmarkEnd w:id="231"/>
      <w:bookmarkEnd w:id="232"/>
      <w:bookmarkEnd w:id="233"/>
      <w:bookmarkEnd w:id="234"/>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女性报考者因怀孕、哺乳期需申请延期体检的，须提供相应的医学证明并与招聘单位约定延缓体检的合理期限。</w:t>
      </w:r>
    </w:p>
    <w:p>
      <w:pPr>
        <w:pStyle w:val="2"/>
        <w:rPr>
          <w:rFonts w:ascii="黑体" w:hAnsi="黑体" w:eastAsia="黑体" w:cs="黑体"/>
          <w:color w:val="000000" w:themeColor="text1"/>
          <w:sz w:val="32"/>
          <w:szCs w:val="32"/>
          <w14:textFill>
            <w14:solidFill>
              <w14:schemeClr w14:val="tx1"/>
            </w14:solidFill>
          </w14:textFill>
        </w:rPr>
      </w:pPr>
      <w:bookmarkStart w:id="235" w:name="_Toc32366"/>
      <w:bookmarkStart w:id="236" w:name="_Toc28818"/>
      <w:bookmarkStart w:id="237" w:name="_Toc5225"/>
      <w:bookmarkStart w:id="238" w:name="_Toc2243"/>
      <w:bookmarkStart w:id="239" w:name="_Toc1565"/>
      <w:bookmarkStart w:id="240" w:name="_Toc13622"/>
      <w:bookmarkStart w:id="241" w:name="_Toc8472"/>
      <w:r>
        <w:rPr>
          <w:rFonts w:hint="eastAsia" w:ascii="黑体" w:hAnsi="黑体" w:eastAsia="黑体" w:cs="黑体"/>
          <w:color w:val="000000" w:themeColor="text1"/>
          <w:sz w:val="32"/>
          <w:szCs w:val="32"/>
          <w14:textFill>
            <w14:solidFill>
              <w14:schemeClr w14:val="tx1"/>
            </w14:solidFill>
          </w14:textFill>
        </w:rPr>
        <w:t>十一、考察</w:t>
      </w:r>
      <w:bookmarkEnd w:id="235"/>
      <w:bookmarkEnd w:id="236"/>
      <w:bookmarkEnd w:id="237"/>
      <w:bookmarkEnd w:id="238"/>
      <w:bookmarkEnd w:id="239"/>
      <w:bookmarkEnd w:id="240"/>
      <w:bookmarkEnd w:id="241"/>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对体检合格的拟聘人员，由招聘单位组织考察其政治思想、道德品质、廉洁自律、能力素质、工作态度、学习和工作表现及是否需要回避等内容情况，并对拟聘人员的资格条件进行再次审核。</w:t>
      </w:r>
    </w:p>
    <w:p>
      <w:pPr>
        <w:ind w:firstLine="640" w:firstLineChars="200"/>
        <w:rPr>
          <w:rFonts w:hint="eastAsia" w:ascii="??_GB2312" w:eastAsia="Times New Roman"/>
          <w:color w:val="000000" w:themeColor="text1"/>
          <w:sz w:val="32"/>
          <w:szCs w:val="32"/>
          <w:lang w:val="en-US" w:eastAsia="zh-CN"/>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考察工作前，通过中国执行信息公开网（http://zxgk.court.gov.cn/）核实考察对象有无失信被执行的情况。发现考察对象被列为失信被执行人的，将查看对应案号并联系执行法院，函询、核实被执行人履行义务的进展情况。被执行人已履行义务的，应在招聘单位约定的期限内提供执行法院的书面证明，方可进行考察；尚未履行义务的，取消其考察资格。拟聘人员在试用期内被列为失信被执行人的，取消其聘用资格。</w:t>
      </w:r>
      <w:bookmarkStart w:id="242" w:name="_Toc9126"/>
      <w:bookmarkStart w:id="243" w:name="_Toc6994"/>
      <w:bookmarkStart w:id="244" w:name="_Toc2077"/>
    </w:p>
    <w:p>
      <w:pPr>
        <w:pStyle w:val="2"/>
        <w:rPr>
          <w:rFonts w:ascii="黑体" w:hAnsi="黑体" w:eastAsia="黑体" w:cs="黑体"/>
          <w:color w:val="000000" w:themeColor="text1"/>
          <w:sz w:val="32"/>
          <w:szCs w:val="32"/>
          <w14:textFill>
            <w14:solidFill>
              <w14:schemeClr w14:val="tx1"/>
            </w14:solidFill>
          </w14:textFill>
        </w:rPr>
      </w:pPr>
      <w:bookmarkStart w:id="245" w:name="_Toc3371"/>
      <w:bookmarkStart w:id="246" w:name="_Toc26510"/>
      <w:bookmarkStart w:id="247" w:name="_Toc824"/>
      <w:bookmarkStart w:id="248" w:name="_Toc2745"/>
      <w:r>
        <w:rPr>
          <w:rFonts w:hint="eastAsia" w:ascii="黑体" w:hAnsi="黑体" w:eastAsia="黑体" w:cs="黑体"/>
          <w:color w:val="000000" w:themeColor="text1"/>
          <w:sz w:val="32"/>
          <w:szCs w:val="32"/>
          <w14:textFill>
            <w14:solidFill>
              <w14:schemeClr w14:val="tx1"/>
            </w14:solidFill>
          </w14:textFill>
        </w:rPr>
        <w:t>十</w:t>
      </w:r>
      <w:r>
        <w:rPr>
          <w:rFonts w:hint="eastAsia" w:ascii="黑体" w:hAnsi="黑体" w:eastAsia="黑体" w:cs="黑体"/>
          <w:color w:val="000000" w:themeColor="text1"/>
          <w:sz w:val="32"/>
          <w:szCs w:val="32"/>
          <w:lang w:eastAsia="zh-CN"/>
          <w14:textFill>
            <w14:solidFill>
              <w14:schemeClr w14:val="tx1"/>
            </w14:solidFill>
          </w14:textFill>
        </w:rPr>
        <w:t>二</w:t>
      </w:r>
      <w:r>
        <w:rPr>
          <w:rFonts w:hint="eastAsia" w:ascii="黑体" w:hAnsi="黑体" w:eastAsia="黑体" w:cs="黑体"/>
          <w:color w:val="000000" w:themeColor="text1"/>
          <w:sz w:val="32"/>
          <w:szCs w:val="32"/>
          <w14:textFill>
            <w14:solidFill>
              <w14:schemeClr w14:val="tx1"/>
            </w14:solidFill>
          </w14:textFill>
        </w:rPr>
        <w:t>、聘用</w:t>
      </w:r>
      <w:bookmarkEnd w:id="242"/>
      <w:bookmarkEnd w:id="243"/>
      <w:bookmarkEnd w:id="244"/>
      <w:bookmarkEnd w:id="245"/>
      <w:bookmarkEnd w:id="246"/>
      <w:bookmarkEnd w:id="247"/>
      <w:bookmarkEnd w:id="248"/>
      <w:bookmarkStart w:id="249" w:name="_Toc5990"/>
      <w:bookmarkStart w:id="250" w:name="_Toc25406"/>
      <w:bookmarkStart w:id="251" w:name="_Toc15037"/>
    </w:p>
    <w:p>
      <w:pPr>
        <w:pStyle w:val="2"/>
        <w:rPr>
          <w:rFonts w:ascii="楷体" w:hAnsi="楷体" w:eastAsia="楷体" w:cs="楷体"/>
          <w:color w:val="000000" w:themeColor="text1"/>
          <w:sz w:val="32"/>
          <w:szCs w:val="32"/>
          <w14:textFill>
            <w14:solidFill>
              <w14:schemeClr w14:val="tx1"/>
            </w14:solidFill>
          </w14:textFill>
        </w:rPr>
      </w:pPr>
      <w:bookmarkStart w:id="252" w:name="_Toc14984"/>
      <w:bookmarkStart w:id="253" w:name="_Toc8398"/>
      <w:bookmarkStart w:id="254" w:name="_Toc1476"/>
      <w:bookmarkStart w:id="255" w:name="_Toc1443"/>
      <w:r>
        <w:rPr>
          <w:rFonts w:hint="eastAsia" w:ascii="楷体" w:hAnsi="楷体" w:eastAsia="楷体" w:cs="楷体"/>
          <w:color w:val="000000" w:themeColor="text1"/>
          <w:sz w:val="32"/>
          <w:szCs w:val="32"/>
          <w14:textFill>
            <w14:solidFill>
              <w14:schemeClr w14:val="tx1"/>
            </w14:solidFill>
          </w14:textFill>
        </w:rPr>
        <w:t>（一）手续办理</w:t>
      </w:r>
      <w:bookmarkEnd w:id="249"/>
      <w:bookmarkEnd w:id="250"/>
      <w:bookmarkEnd w:id="251"/>
      <w:bookmarkEnd w:id="252"/>
      <w:bookmarkEnd w:id="253"/>
      <w:bookmarkEnd w:id="254"/>
      <w:bookmarkEnd w:id="255"/>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公示结果无异议，或经招聘单位</w:t>
      </w:r>
      <w:r>
        <w:rPr>
          <w:rFonts w:hint="eastAsia" w:ascii="??_GB2312" w:eastAsia="Times New Roman"/>
          <w:color w:val="000000" w:themeColor="text1"/>
          <w:sz w:val="32"/>
          <w:szCs w:val="32"/>
          <w:lang w:eastAsia="zh-CN"/>
          <w14:textFill>
            <w14:solidFill>
              <w14:schemeClr w14:val="tx1"/>
            </w14:solidFill>
          </w14:textFill>
        </w:rPr>
        <w:t>报厦门医学院</w:t>
      </w:r>
      <w:r>
        <w:rPr>
          <w:rFonts w:hint="eastAsia" w:ascii="??_GB2312" w:eastAsia="Times New Roman"/>
          <w:color w:val="000000" w:themeColor="text1"/>
          <w:sz w:val="32"/>
          <w:szCs w:val="32"/>
          <w14:textFill>
            <w14:solidFill>
              <w14:schemeClr w14:val="tx1"/>
            </w14:solidFill>
          </w14:textFill>
        </w:rPr>
        <w:t>核实不影响聘用的，拟聘人员应于公示期满后5个月内提供办理聘用手续所需的全部资料（含个人人事档案）。因情况确实特殊、无法在上述期限内提供完备资料的，拟聘人员需提交书面申请并与招聘单位协商一致后核准，可适当延长资料提交时限（延长时限原则上不超过2个月），否则视为自动放弃聘用资格。</w:t>
      </w:r>
    </w:p>
    <w:p>
      <w:pPr>
        <w:pStyle w:val="2"/>
        <w:rPr>
          <w:rFonts w:ascii="楷体" w:hAnsi="楷体" w:eastAsia="楷体" w:cs="楷体"/>
          <w:color w:val="000000" w:themeColor="text1"/>
          <w:sz w:val="32"/>
          <w:szCs w:val="32"/>
          <w14:textFill>
            <w14:solidFill>
              <w14:schemeClr w14:val="tx1"/>
            </w14:solidFill>
          </w14:textFill>
        </w:rPr>
      </w:pPr>
      <w:bookmarkStart w:id="256" w:name="_Toc17386"/>
      <w:bookmarkStart w:id="257" w:name="_Toc27370"/>
      <w:bookmarkStart w:id="258" w:name="_Toc27136"/>
      <w:bookmarkStart w:id="259" w:name="_Toc15886"/>
      <w:bookmarkStart w:id="260" w:name="_Toc1514"/>
      <w:bookmarkStart w:id="261" w:name="_Toc974"/>
      <w:bookmarkStart w:id="262" w:name="_Toc11701"/>
      <w:r>
        <w:rPr>
          <w:rFonts w:hint="eastAsia" w:ascii="楷体" w:hAnsi="楷体" w:eastAsia="楷体" w:cs="楷体"/>
          <w:color w:val="000000" w:themeColor="text1"/>
          <w:sz w:val="32"/>
          <w:szCs w:val="32"/>
          <w14:textFill>
            <w14:solidFill>
              <w14:schemeClr w14:val="tx1"/>
            </w14:solidFill>
          </w14:textFill>
        </w:rPr>
        <w:t>（二）岗位聘任</w:t>
      </w:r>
      <w:bookmarkEnd w:id="256"/>
      <w:bookmarkEnd w:id="257"/>
      <w:bookmarkEnd w:id="258"/>
      <w:bookmarkEnd w:id="259"/>
      <w:bookmarkEnd w:id="260"/>
      <w:bookmarkEnd w:id="261"/>
      <w:bookmarkEnd w:id="262"/>
    </w:p>
    <w:p>
      <w:pPr>
        <w:ind w:firstLine="640" w:firstLineChars="200"/>
        <w:rPr>
          <w:rFonts w:hint="eastAsia" w:ascii="??_GB2312" w:eastAsia="Times New Roman"/>
          <w:color w:val="000000" w:themeColor="text1"/>
          <w:sz w:val="32"/>
          <w:szCs w:val="32"/>
          <w14:textFill>
            <w14:solidFill>
              <w14:schemeClr w14:val="tx1"/>
            </w14:solidFill>
          </w14:textFill>
        </w:rPr>
      </w:pPr>
      <w:bookmarkStart w:id="263" w:name="_Toc7768"/>
      <w:bookmarkStart w:id="264" w:name="_Toc18947"/>
      <w:bookmarkStart w:id="265" w:name="_Toc15865"/>
      <w:bookmarkStart w:id="266" w:name="_Toc5335"/>
      <w:bookmarkStart w:id="267" w:name="_Toc30319"/>
      <w:bookmarkStart w:id="268" w:name="_Toc11026"/>
      <w:bookmarkStart w:id="269" w:name="_Toc5705"/>
      <w:r>
        <w:rPr>
          <w:rFonts w:hint="eastAsia" w:ascii="??_GB2312" w:eastAsia="Times New Roman"/>
          <w:color w:val="000000" w:themeColor="text1"/>
          <w:sz w:val="32"/>
          <w:szCs w:val="32"/>
          <w14:textFill>
            <w14:solidFill>
              <w14:schemeClr w14:val="tx1"/>
            </w14:solidFill>
          </w14:textFill>
        </w:rPr>
        <w:t>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招聘单位应遵照事业单位岗位设置管理规定，按本单位发布的招聘岗位类别和级别对拟聘人员进行聘任。如招聘单位的拟聘岗位数量不足或拟聘人员不具备相应岗位聘任资格条件的，可实行高职低聘。</w:t>
      </w:r>
    </w:p>
    <w:p>
      <w:pPr>
        <w:pStyle w:val="2"/>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十</w:t>
      </w:r>
      <w:r>
        <w:rPr>
          <w:rFonts w:hint="eastAsia" w:ascii="黑体" w:hAnsi="黑体" w:eastAsia="黑体" w:cs="黑体"/>
          <w:color w:val="000000" w:themeColor="text1"/>
          <w:sz w:val="32"/>
          <w:szCs w:val="32"/>
          <w:lang w:eastAsia="zh-CN"/>
          <w14:textFill>
            <w14:solidFill>
              <w14:schemeClr w14:val="tx1"/>
            </w14:solidFill>
          </w14:textFill>
        </w:rPr>
        <w:t>三</w:t>
      </w:r>
      <w:r>
        <w:rPr>
          <w:rFonts w:hint="eastAsia" w:ascii="黑体" w:hAnsi="黑体" w:eastAsia="黑体" w:cs="黑体"/>
          <w:color w:val="000000" w:themeColor="text1"/>
          <w:sz w:val="32"/>
          <w:szCs w:val="32"/>
          <w14:textFill>
            <w14:solidFill>
              <w14:schemeClr w14:val="tx1"/>
            </w14:solidFill>
          </w14:textFill>
        </w:rPr>
        <w:t>、其他事项</w:t>
      </w:r>
      <w:bookmarkEnd w:id="263"/>
      <w:bookmarkEnd w:id="264"/>
      <w:bookmarkEnd w:id="265"/>
      <w:bookmarkEnd w:id="266"/>
      <w:bookmarkEnd w:id="267"/>
      <w:bookmarkEnd w:id="268"/>
      <w:bookmarkEnd w:id="269"/>
      <w:bookmarkStart w:id="270" w:name="_Toc28131"/>
      <w:bookmarkStart w:id="271" w:name="_Toc29849"/>
      <w:bookmarkStart w:id="272" w:name="_Toc20963"/>
    </w:p>
    <w:p>
      <w:pPr>
        <w:pStyle w:val="2"/>
        <w:rPr>
          <w:rFonts w:ascii="楷体" w:hAnsi="楷体" w:eastAsia="楷体" w:cs="楷体"/>
          <w:color w:val="000000" w:themeColor="text1"/>
          <w:sz w:val="32"/>
          <w:szCs w:val="32"/>
          <w14:textFill>
            <w14:solidFill>
              <w14:schemeClr w14:val="tx1"/>
            </w14:solidFill>
          </w14:textFill>
        </w:rPr>
      </w:pPr>
      <w:bookmarkStart w:id="273" w:name="_Toc12131"/>
      <w:bookmarkStart w:id="274" w:name="_Toc7430"/>
      <w:bookmarkStart w:id="275" w:name="_Toc5470"/>
      <w:bookmarkStart w:id="276" w:name="_Toc10955"/>
      <w:r>
        <w:rPr>
          <w:rFonts w:hint="eastAsia" w:ascii="楷体" w:hAnsi="楷体" w:eastAsia="楷体" w:cs="楷体"/>
          <w:color w:val="000000" w:themeColor="text1"/>
          <w:sz w:val="32"/>
          <w:szCs w:val="32"/>
          <w14:textFill>
            <w14:solidFill>
              <w14:schemeClr w14:val="tx1"/>
            </w14:solidFill>
          </w14:textFill>
        </w:rPr>
        <w:t>（一）中共党员</w:t>
      </w:r>
      <w:bookmarkEnd w:id="270"/>
      <w:bookmarkEnd w:id="271"/>
      <w:bookmarkEnd w:id="272"/>
      <w:bookmarkEnd w:id="273"/>
      <w:bookmarkEnd w:id="274"/>
      <w:bookmarkEnd w:id="275"/>
      <w:bookmarkEnd w:id="276"/>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岗位资格条件要求为“中共党员”的，中共预备党员也可报考。</w:t>
      </w:r>
    </w:p>
    <w:p>
      <w:pPr>
        <w:pStyle w:val="2"/>
        <w:rPr>
          <w:rFonts w:ascii="楷体" w:hAnsi="楷体" w:eastAsia="楷体" w:cs="楷体"/>
          <w:color w:val="000000" w:themeColor="text1"/>
          <w:sz w:val="32"/>
          <w:szCs w:val="32"/>
          <w14:textFill>
            <w14:solidFill>
              <w14:schemeClr w14:val="tx1"/>
            </w14:solidFill>
          </w14:textFill>
        </w:rPr>
      </w:pPr>
      <w:bookmarkStart w:id="277" w:name="_Toc5176"/>
      <w:bookmarkStart w:id="278" w:name="_Toc29092"/>
      <w:bookmarkStart w:id="279" w:name="_Toc1658"/>
      <w:bookmarkStart w:id="280" w:name="_Toc26996"/>
      <w:bookmarkStart w:id="281" w:name="_Toc31167"/>
      <w:bookmarkStart w:id="282" w:name="_Toc15299"/>
      <w:bookmarkStart w:id="283" w:name="_Toc1238"/>
      <w:r>
        <w:rPr>
          <w:rFonts w:hint="eastAsia" w:ascii="楷体" w:hAnsi="楷体" w:eastAsia="楷体" w:cs="楷体"/>
          <w:color w:val="000000" w:themeColor="text1"/>
          <w:sz w:val="32"/>
          <w:szCs w:val="32"/>
          <w14:textFill>
            <w14:solidFill>
              <w14:schemeClr w14:val="tx1"/>
            </w14:solidFill>
          </w14:textFill>
        </w:rPr>
        <w:t>（二）职称</w:t>
      </w:r>
      <w:bookmarkEnd w:id="277"/>
      <w:bookmarkEnd w:id="278"/>
      <w:bookmarkEnd w:id="279"/>
      <w:bookmarkEnd w:id="280"/>
      <w:bookmarkEnd w:id="281"/>
      <w:bookmarkEnd w:id="282"/>
      <w:bookmarkEnd w:id="283"/>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岗位资格条件要求的职称是指经社会化评审或考试等方式取得的职称，不含通过非公有制企业职称评审取得的职称。按照国家和省部规定自主评聘的卫生技术系列高级职称人员，须经福建省职改部门确认或颁发的卫生高级专业技术职务任职资格，方能作为岗位正常聘任和岗位级别晋升的依据。</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以非普通教育学历报考的考生，“医”类岗位须取得与岗位相符的执业助理医师及以上医师资格，“药、护、技”三类岗位须取得与岗位相符的卫生专业技术初级及以上职务任职资格。</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报考者已于报名截止日前通过岗位条件要求（含上述以非普通教育学历报考的考生须取得的资格要求）的相应资格证书考试（或评审等）但未取得证书的，须在资格复核时，提供有效的成绩单及是否通过考试的结论。2021年毕业的医学专业“四证合一”应届研究生，在符合报考岗位其他资格条件的前提下，其医师资格证书可于2021年12月31日前随符合岗位报考条件的相应学历（位）证书一并提供。</w:t>
      </w:r>
      <w:bookmarkStart w:id="284" w:name="_Toc21039"/>
      <w:bookmarkStart w:id="285" w:name="_Toc19212"/>
      <w:bookmarkStart w:id="286" w:name="_Toc21952"/>
    </w:p>
    <w:p>
      <w:pPr>
        <w:pStyle w:val="2"/>
        <w:rPr>
          <w:rFonts w:ascii="楷体" w:hAnsi="楷体" w:eastAsia="楷体" w:cs="楷体"/>
          <w:color w:val="000000" w:themeColor="text1"/>
          <w:sz w:val="32"/>
          <w:szCs w:val="32"/>
          <w14:textFill>
            <w14:solidFill>
              <w14:schemeClr w14:val="tx1"/>
            </w14:solidFill>
          </w14:textFill>
        </w:rPr>
      </w:pPr>
      <w:bookmarkStart w:id="287" w:name="_Toc16150"/>
      <w:bookmarkStart w:id="288" w:name="_Toc4426"/>
      <w:bookmarkStart w:id="289" w:name="_Toc16551"/>
      <w:bookmarkStart w:id="290" w:name="_Toc23989"/>
      <w:r>
        <w:rPr>
          <w:rFonts w:hint="eastAsia" w:ascii="楷体" w:hAnsi="楷体" w:eastAsia="楷体" w:cs="楷体"/>
          <w:color w:val="000000" w:themeColor="text1"/>
          <w:sz w:val="32"/>
          <w:szCs w:val="32"/>
          <w14:textFill>
            <w14:solidFill>
              <w14:schemeClr w14:val="tx1"/>
            </w14:solidFill>
          </w14:textFill>
        </w:rPr>
        <w:t>（三）规范化培训</w:t>
      </w:r>
      <w:bookmarkEnd w:id="284"/>
      <w:bookmarkEnd w:id="285"/>
      <w:bookmarkEnd w:id="286"/>
      <w:bookmarkEnd w:id="287"/>
      <w:bookmarkEnd w:id="288"/>
      <w:bookmarkEnd w:id="289"/>
      <w:bookmarkEnd w:id="290"/>
    </w:p>
    <w:p>
      <w:pPr>
        <w:ind w:firstLine="640" w:firstLineChars="200"/>
        <w:rPr>
          <w:rFonts w:hint="eastAsia" w:ascii="??_GB2312" w:eastAsia="Times New Roman"/>
          <w:color w:val="000000" w:themeColor="text1"/>
          <w:sz w:val="32"/>
          <w:szCs w:val="32"/>
          <w14:textFill>
            <w14:solidFill>
              <w14:schemeClr w14:val="tx1"/>
            </w14:solidFill>
          </w14:textFill>
        </w:rPr>
      </w:pPr>
      <w:bookmarkStart w:id="291" w:name="_Toc18949"/>
      <w:bookmarkStart w:id="292" w:name="_Toc14906"/>
      <w:bookmarkStart w:id="293" w:name="_Toc20667"/>
      <w:bookmarkStart w:id="294" w:name="_Toc4062"/>
      <w:bookmarkStart w:id="295" w:name="_Toc9207"/>
      <w:bookmarkStart w:id="296" w:name="_Toc4591"/>
      <w:bookmarkStart w:id="297" w:name="_Toc21766"/>
      <w:r>
        <w:rPr>
          <w:rFonts w:hint="eastAsia" w:ascii="??_GB2312" w:eastAsia="Times New Roman"/>
          <w:color w:val="000000" w:themeColor="text1"/>
          <w:sz w:val="32"/>
          <w:szCs w:val="32"/>
          <w14:textFill>
            <w14:solidFill>
              <w14:schemeClr w14:val="tx1"/>
            </w14:solidFill>
          </w14:textFill>
        </w:rPr>
        <w:t>岗位资格条件要求完成住院医师规范化培训的，是指按照《住院医师规范化培训内容和标准（试行）》完成住院医师规范化培训内容并取得合格证书。</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岗位资格条件要求完成全科医师规范化培训的，是指按照《卫生部专科医师培训暂行规定》、《卫生部专科医师培训标准（试行）》完成全科医师规范化培训内容并取得合格证书，或取得经过省级卫生行政部门认可的全科医学培训合格证书、社区卫生服务人员岗位培训合格证书或全科医生转岗培训合格证书等可用于注册执业范围为全科医学专业的《医师执业证书》的全科医师培训合格证明。</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报考者须于资格复核时提供岗位资格条件要求的规范化培训合格证书或证书主管部门出具的成绩单及是否通过考试的结论书面证明。2021年毕业的医学专业“四证合一”应届研究生，在符合报考岗位其他资格条件的前提下，其住院医师规范化培训合格证书可于2021年12月31日前随符合岗位报考条件的相应学历（位）证书一并提供。</w:t>
      </w:r>
    </w:p>
    <w:p>
      <w:pPr>
        <w:pStyle w:val="2"/>
        <w:rPr>
          <w:rFonts w:ascii="楷体" w:hAnsi="楷体" w:eastAsia="楷体" w:cs="楷体"/>
          <w:color w:val="000000" w:themeColor="text1"/>
          <w:sz w:val="32"/>
          <w:szCs w:val="32"/>
          <w14:textFill>
            <w14:solidFill>
              <w14:schemeClr w14:val="tx1"/>
            </w14:solidFill>
          </w14:textFill>
        </w:rPr>
      </w:pPr>
      <w:bookmarkStart w:id="298" w:name="_（四）应届高校毕业生"/>
      <w:r>
        <w:rPr>
          <w:rFonts w:hint="eastAsia" w:ascii="楷体" w:hAnsi="楷体" w:eastAsia="楷体" w:cs="楷体"/>
          <w:color w:val="000000" w:themeColor="text1"/>
          <w:sz w:val="32"/>
          <w:szCs w:val="32"/>
          <w14:textFill>
            <w14:solidFill>
              <w14:schemeClr w14:val="tx1"/>
            </w14:solidFill>
          </w14:textFill>
        </w:rPr>
        <w:t>（四）应届高校毕业生</w:t>
      </w:r>
      <w:bookmarkEnd w:id="291"/>
      <w:bookmarkEnd w:id="292"/>
      <w:bookmarkEnd w:id="293"/>
      <w:bookmarkEnd w:id="294"/>
      <w:bookmarkEnd w:id="295"/>
      <w:bookmarkEnd w:id="296"/>
      <w:bookmarkEnd w:id="297"/>
    </w:p>
    <w:bookmarkEnd w:id="298"/>
    <w:p>
      <w:pPr>
        <w:ind w:firstLine="640" w:firstLineChars="200"/>
        <w:rPr>
          <w:rFonts w:hint="eastAsia" w:ascii="??_GB2312" w:eastAsia="Times New Roman"/>
          <w:color w:val="000000" w:themeColor="text1"/>
          <w:sz w:val="32"/>
          <w:szCs w:val="32"/>
          <w14:textFill>
            <w14:solidFill>
              <w14:schemeClr w14:val="tx1"/>
            </w14:solidFill>
          </w14:textFill>
        </w:rPr>
      </w:pPr>
      <w:bookmarkStart w:id="299" w:name="_Toc16363"/>
      <w:bookmarkStart w:id="300" w:name="_Toc21903"/>
      <w:bookmarkStart w:id="301" w:name="_Toc29449"/>
      <w:bookmarkStart w:id="302" w:name="_Toc20713"/>
      <w:bookmarkStart w:id="303" w:name="_Toc30902"/>
      <w:bookmarkStart w:id="304" w:name="_Toc26030"/>
      <w:r>
        <w:rPr>
          <w:rFonts w:hint="eastAsia" w:ascii="??_GB2312" w:eastAsia="Times New Roman"/>
          <w:color w:val="000000" w:themeColor="text1"/>
          <w:sz w:val="32"/>
          <w:szCs w:val="32"/>
          <w14:textFill>
            <w14:solidFill>
              <w14:schemeClr w14:val="tx1"/>
            </w14:solidFill>
          </w14:textFill>
        </w:rPr>
        <w:t>参照国家、福建省有关文件政策，本次招聘岗位资格条件中涉及面向应届高校毕业生的，包含以下对象：</w:t>
      </w:r>
    </w:p>
    <w:bookmarkEnd w:id="299"/>
    <w:bookmarkEnd w:id="300"/>
    <w:bookmarkEnd w:id="301"/>
    <w:bookmarkEnd w:id="302"/>
    <w:bookmarkEnd w:id="303"/>
    <w:bookmarkEnd w:id="304"/>
    <w:p>
      <w:pPr>
        <w:ind w:firstLine="640" w:firstLineChars="200"/>
        <w:rPr>
          <w:rFonts w:hint="eastAsia" w:ascii="??_GB2312" w:eastAsia="Times New Roman"/>
          <w:color w:val="000000" w:themeColor="text1"/>
          <w:sz w:val="32"/>
          <w:szCs w:val="32"/>
          <w14:textFill>
            <w14:solidFill>
              <w14:schemeClr w14:val="tx1"/>
            </w14:solidFill>
          </w14:textFill>
        </w:rPr>
      </w:pPr>
      <w:bookmarkStart w:id="305" w:name="_Toc17835_WPSOffice_Level2"/>
      <w:bookmarkStart w:id="306" w:name="_Toc3069"/>
      <w:bookmarkStart w:id="307" w:name="_Toc5428"/>
      <w:bookmarkStart w:id="308" w:name="_Toc14931"/>
      <w:bookmarkStart w:id="309" w:name="_Toc18970"/>
      <w:bookmarkStart w:id="310" w:name="_Toc7516"/>
      <w:bookmarkStart w:id="311" w:name="_Toc1147"/>
      <w:bookmarkStart w:id="312" w:name="_Toc14505"/>
      <w:bookmarkStart w:id="313" w:name="_Toc11834"/>
      <w:r>
        <w:rPr>
          <w:rFonts w:hint="eastAsia" w:ascii="??_GB2312" w:eastAsia="Times New Roman"/>
          <w:color w:val="000000" w:themeColor="text1"/>
          <w:sz w:val="32"/>
          <w:szCs w:val="32"/>
          <w14:textFill>
            <w14:solidFill>
              <w14:schemeClr w14:val="tx1"/>
            </w14:solidFill>
          </w14:textFill>
        </w:rPr>
        <w:t>1.2021届毕业生。通过参加全国统一的普通高等学校招生考试达到录取要求入学或国家承认的其他方式入学、经省级招办批准录取，入学时将档案关系转到就读学校，并于2021年1月1日至2021年12月31日取得普通高等学校（教育）学历、学位证书的毕业生。</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2.截至报名截止日，尚未落实工作单位的2019届、2020届毕业生。2019届、2020届毕业生按照上述2021届毕业生进行类推界定。</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3.参加基层服务项目前无工作经历、服务期满且考核合格后2年内的高校毕业生。“参加基层服务项目”的界定见本简章第九章“笔试加分”第（二）款第1点“服务基层项目高校毕业人员”。</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持境外学历（位）报考的应届高校毕业生参照上述标准界定。</w:t>
      </w:r>
    </w:p>
    <w:p>
      <w:pPr>
        <w:pStyle w:val="2"/>
        <w:rPr>
          <w:rFonts w:ascii="楷体" w:hAnsi="楷体" w:eastAsia="楷体" w:cs="楷体"/>
          <w:color w:val="000000" w:themeColor="text1"/>
          <w:sz w:val="32"/>
          <w:szCs w:val="32"/>
          <w14:textFill>
            <w14:solidFill>
              <w14:schemeClr w14:val="tx1"/>
            </w14:solidFill>
          </w14:textFill>
        </w:rPr>
      </w:pPr>
      <w:bookmarkStart w:id="314" w:name="_（五）生源"/>
      <w:r>
        <w:rPr>
          <w:rFonts w:hint="eastAsia" w:ascii="楷体" w:hAnsi="楷体" w:eastAsia="楷体" w:cs="楷体"/>
          <w:color w:val="000000" w:themeColor="text1"/>
          <w:sz w:val="32"/>
          <w:szCs w:val="32"/>
          <w14:textFill>
            <w14:solidFill>
              <w14:schemeClr w14:val="tx1"/>
            </w14:solidFill>
          </w14:textFill>
        </w:rPr>
        <w:t>（五）</w:t>
      </w:r>
      <w:bookmarkEnd w:id="305"/>
      <w:r>
        <w:rPr>
          <w:rFonts w:hint="eastAsia" w:ascii="楷体" w:hAnsi="楷体" w:eastAsia="楷体" w:cs="楷体"/>
          <w:color w:val="000000" w:themeColor="text1"/>
          <w:sz w:val="32"/>
          <w:szCs w:val="32"/>
          <w14:textFill>
            <w14:solidFill>
              <w14:schemeClr w14:val="tx1"/>
            </w14:solidFill>
          </w14:textFill>
        </w:rPr>
        <w:t>生源</w:t>
      </w:r>
      <w:bookmarkEnd w:id="306"/>
      <w:bookmarkEnd w:id="307"/>
      <w:bookmarkEnd w:id="308"/>
      <w:bookmarkEnd w:id="309"/>
      <w:bookmarkEnd w:id="310"/>
      <w:bookmarkEnd w:id="311"/>
    </w:p>
    <w:bookmarkEnd w:id="314"/>
    <w:p>
      <w:pPr>
        <w:ind w:firstLine="640" w:firstLineChars="200"/>
        <w:rPr>
          <w:rFonts w:hint="eastAsia" w:ascii="??_GB2312" w:eastAsia="Times New Roman"/>
          <w:color w:val="000000" w:themeColor="text1"/>
          <w:sz w:val="32"/>
          <w:szCs w:val="32"/>
          <w14:textFill>
            <w14:solidFill>
              <w14:schemeClr w14:val="tx1"/>
            </w14:solidFill>
          </w14:textFill>
        </w:rPr>
      </w:pPr>
      <w:bookmarkStart w:id="315" w:name="_Toc26322"/>
      <w:bookmarkStart w:id="316" w:name="_Toc127"/>
      <w:bookmarkStart w:id="317" w:name="_Toc9297"/>
      <w:bookmarkStart w:id="318" w:name="_Toc17719"/>
      <w:bookmarkStart w:id="319" w:name="_Toc7571"/>
      <w:bookmarkStart w:id="320" w:name="_Toc25702"/>
      <w:bookmarkStart w:id="321" w:name="_Toc29806"/>
      <w:bookmarkStart w:id="322" w:name="_Toc6750"/>
      <w:bookmarkStart w:id="323" w:name="_Toc17019"/>
      <w:bookmarkStart w:id="324" w:name="_Toc2690"/>
      <w:bookmarkStart w:id="325" w:name="_Toc20567"/>
      <w:bookmarkStart w:id="326" w:name="_Toc26251"/>
      <w:bookmarkStart w:id="327" w:name="_Toc24201"/>
      <w:r>
        <w:rPr>
          <w:rFonts w:hint="eastAsia" w:ascii="??_GB2312" w:eastAsia="Times New Roman"/>
          <w:color w:val="000000" w:themeColor="text1"/>
          <w:sz w:val="32"/>
          <w:szCs w:val="32"/>
          <w14:textFill>
            <w14:solidFill>
              <w14:schemeClr w14:val="tx1"/>
            </w14:solidFill>
          </w14:textFill>
        </w:rPr>
        <w:t>厦门生源毕业生指入学前（指考入取得第一个全日制普通教育学历的院校前，下同）户籍和学籍在厦门市的全日制普通教育毕业生。符合以下条件之一的普通教育全日制毕业生可参照厦门生源：</w:t>
      </w:r>
      <w:bookmarkEnd w:id="315"/>
      <w:bookmarkEnd w:id="316"/>
      <w:bookmarkEnd w:id="317"/>
      <w:bookmarkEnd w:id="318"/>
      <w:bookmarkEnd w:id="319"/>
      <w:bookmarkEnd w:id="320"/>
      <w:bookmarkEnd w:id="321"/>
    </w:p>
    <w:p>
      <w:pPr>
        <w:ind w:firstLine="640" w:firstLineChars="200"/>
        <w:rPr>
          <w:rFonts w:hint="eastAsia" w:ascii="??_GB2312" w:eastAsia="Times New Roman"/>
          <w:color w:val="000000" w:themeColor="text1"/>
          <w:sz w:val="32"/>
          <w:szCs w:val="32"/>
          <w14:textFill>
            <w14:solidFill>
              <w14:schemeClr w14:val="tx1"/>
            </w14:solidFill>
          </w14:textFill>
        </w:rPr>
      </w:pPr>
      <w:bookmarkStart w:id="328" w:name="_Toc1886"/>
      <w:bookmarkStart w:id="329" w:name="_Toc4034"/>
      <w:bookmarkStart w:id="330" w:name="_Toc12000"/>
      <w:bookmarkStart w:id="331" w:name="_Toc11122"/>
      <w:bookmarkStart w:id="332" w:name="_Toc22909"/>
      <w:bookmarkStart w:id="333" w:name="_Toc12136"/>
      <w:bookmarkStart w:id="334" w:name="_Toc26848"/>
      <w:r>
        <w:rPr>
          <w:rFonts w:hint="eastAsia" w:ascii="??_GB2312" w:eastAsia="Times New Roman"/>
          <w:color w:val="000000" w:themeColor="text1"/>
          <w:sz w:val="32"/>
          <w:szCs w:val="32"/>
          <w14:textFill>
            <w14:solidFill>
              <w14:schemeClr w14:val="tx1"/>
            </w14:solidFill>
          </w14:textFill>
        </w:rPr>
        <w:t>1.入学前户籍在厦门市但学籍不在厦门市的普通教育全日制毕业生；</w:t>
      </w:r>
      <w:bookmarkEnd w:id="328"/>
      <w:bookmarkEnd w:id="329"/>
      <w:bookmarkEnd w:id="330"/>
      <w:bookmarkEnd w:id="331"/>
      <w:bookmarkEnd w:id="332"/>
      <w:bookmarkEnd w:id="333"/>
      <w:bookmarkEnd w:id="334"/>
    </w:p>
    <w:p>
      <w:pPr>
        <w:ind w:firstLine="640" w:firstLineChars="200"/>
        <w:rPr>
          <w:rFonts w:hint="eastAsia" w:ascii="??_GB2312" w:eastAsia="Times New Roman"/>
          <w:color w:val="000000" w:themeColor="text1"/>
          <w:sz w:val="32"/>
          <w:szCs w:val="32"/>
          <w14:textFill>
            <w14:solidFill>
              <w14:schemeClr w14:val="tx1"/>
            </w14:solidFill>
          </w14:textFill>
        </w:rPr>
      </w:pPr>
      <w:bookmarkStart w:id="335" w:name="_Toc13518"/>
      <w:bookmarkStart w:id="336" w:name="_Toc29287"/>
      <w:bookmarkStart w:id="337" w:name="_Toc16832"/>
      <w:bookmarkStart w:id="338" w:name="_Toc15903"/>
      <w:bookmarkStart w:id="339" w:name="_Toc26076"/>
      <w:bookmarkStart w:id="340" w:name="_Toc27435"/>
      <w:bookmarkStart w:id="341" w:name="_Toc13042"/>
      <w:r>
        <w:rPr>
          <w:rFonts w:hint="eastAsia" w:ascii="??_GB2312" w:eastAsia="Times New Roman"/>
          <w:color w:val="000000" w:themeColor="text1"/>
          <w:sz w:val="32"/>
          <w:szCs w:val="32"/>
          <w14:textFill>
            <w14:solidFill>
              <w14:schemeClr w14:val="tx1"/>
            </w14:solidFill>
          </w14:textFill>
        </w:rPr>
        <w:t>2.入学前户籍和学籍虽不在厦门市，但在本次公开招聘报名截止日前父母或配偶有一方户籍在厦门市的普通教育全日制2021届毕业生；</w:t>
      </w:r>
      <w:bookmarkEnd w:id="335"/>
      <w:bookmarkEnd w:id="336"/>
      <w:bookmarkEnd w:id="337"/>
      <w:bookmarkEnd w:id="338"/>
      <w:bookmarkEnd w:id="339"/>
      <w:bookmarkEnd w:id="340"/>
      <w:bookmarkEnd w:id="341"/>
    </w:p>
    <w:p>
      <w:pPr>
        <w:ind w:firstLine="640" w:firstLineChars="200"/>
        <w:rPr>
          <w:rFonts w:hint="eastAsia" w:ascii="??_GB2312" w:eastAsia="Times New Roman"/>
          <w:color w:val="000000" w:themeColor="text1"/>
          <w:sz w:val="32"/>
          <w:szCs w:val="32"/>
          <w14:textFill>
            <w14:solidFill>
              <w14:schemeClr w14:val="tx1"/>
            </w14:solidFill>
          </w14:textFill>
        </w:rPr>
      </w:pPr>
      <w:bookmarkStart w:id="342" w:name="_Toc27637"/>
      <w:bookmarkStart w:id="343" w:name="_Toc21929"/>
      <w:bookmarkStart w:id="344" w:name="_Toc10722"/>
      <w:bookmarkStart w:id="345" w:name="_Toc29894"/>
      <w:bookmarkStart w:id="346" w:name="_Toc8311"/>
      <w:bookmarkStart w:id="347" w:name="_Toc726"/>
      <w:bookmarkStart w:id="348" w:name="_Toc19098"/>
      <w:r>
        <w:rPr>
          <w:rFonts w:hint="eastAsia" w:ascii="??_GB2312" w:eastAsia="Times New Roman"/>
          <w:color w:val="000000" w:themeColor="text1"/>
          <w:sz w:val="32"/>
          <w:szCs w:val="32"/>
          <w14:textFill>
            <w14:solidFill>
              <w14:schemeClr w14:val="tx1"/>
            </w14:solidFill>
          </w14:textFill>
        </w:rPr>
        <w:t>3.根据厦府办〔2011〕229号文规定来我市就读普通高中且将户籍迁入我市的外来学生，普通高中毕业后从我市考入普通高等院校的全日制普通教育毕业生。</w:t>
      </w:r>
      <w:bookmarkEnd w:id="342"/>
      <w:bookmarkEnd w:id="343"/>
      <w:bookmarkEnd w:id="344"/>
      <w:bookmarkEnd w:id="345"/>
      <w:bookmarkEnd w:id="346"/>
      <w:bookmarkEnd w:id="347"/>
      <w:bookmarkEnd w:id="348"/>
    </w:p>
    <w:p>
      <w:pPr>
        <w:ind w:firstLine="640" w:firstLineChars="200"/>
        <w:rPr>
          <w:rFonts w:hint="eastAsia" w:ascii="??_GB2312" w:eastAsia="Times New Roman"/>
          <w:color w:val="000000" w:themeColor="text1"/>
          <w:sz w:val="32"/>
          <w:szCs w:val="32"/>
          <w14:textFill>
            <w14:solidFill>
              <w14:schemeClr w14:val="tx1"/>
            </w14:solidFill>
          </w14:textFill>
        </w:rPr>
      </w:pPr>
      <w:bookmarkStart w:id="349" w:name="_Toc29929"/>
      <w:bookmarkStart w:id="350" w:name="_Toc29471"/>
      <w:bookmarkStart w:id="351" w:name="_Toc21036"/>
      <w:bookmarkStart w:id="352" w:name="_Toc18194"/>
      <w:bookmarkStart w:id="353" w:name="_Toc526"/>
      <w:bookmarkStart w:id="354" w:name="_Toc10696"/>
      <w:bookmarkStart w:id="355" w:name="_Toc7765"/>
      <w:r>
        <w:rPr>
          <w:rFonts w:hint="eastAsia" w:ascii="??_GB2312" w:eastAsia="Times New Roman"/>
          <w:color w:val="000000" w:themeColor="text1"/>
          <w:sz w:val="32"/>
          <w:szCs w:val="32"/>
          <w14:textFill>
            <w14:solidFill>
              <w14:schemeClr w14:val="tx1"/>
            </w14:solidFill>
          </w14:textFill>
        </w:rPr>
        <w:t>福建生源类推界定。</w:t>
      </w:r>
      <w:bookmarkEnd w:id="349"/>
      <w:bookmarkEnd w:id="350"/>
      <w:bookmarkEnd w:id="351"/>
      <w:bookmarkEnd w:id="352"/>
      <w:bookmarkEnd w:id="353"/>
      <w:bookmarkEnd w:id="354"/>
      <w:bookmarkEnd w:id="355"/>
    </w:p>
    <w:p>
      <w:pPr>
        <w:pStyle w:val="2"/>
        <w:rPr>
          <w:rFonts w:ascii="楷体" w:hAnsi="楷体" w:eastAsia="楷体" w:cs="楷体"/>
          <w:color w:val="000000" w:themeColor="text1"/>
          <w:sz w:val="32"/>
          <w:szCs w:val="32"/>
          <w14:textFill>
            <w14:solidFill>
              <w14:schemeClr w14:val="tx1"/>
            </w14:solidFill>
          </w14:textFill>
        </w:rPr>
      </w:pPr>
      <w:bookmarkStart w:id="356" w:name="_（六）港澳台人员"/>
      <w:r>
        <w:rPr>
          <w:rFonts w:hint="eastAsia" w:ascii="楷体" w:hAnsi="楷体" w:eastAsia="楷体" w:cs="楷体"/>
          <w:color w:val="000000" w:themeColor="text1"/>
          <w:sz w:val="32"/>
          <w:szCs w:val="32"/>
          <w14:textFill>
            <w14:solidFill>
              <w14:schemeClr w14:val="tx1"/>
            </w14:solidFill>
          </w14:textFill>
        </w:rPr>
        <w:t>（六）港澳台人员</w:t>
      </w:r>
      <w:bookmarkEnd w:id="312"/>
      <w:bookmarkEnd w:id="313"/>
      <w:bookmarkEnd w:id="322"/>
      <w:bookmarkEnd w:id="323"/>
      <w:bookmarkEnd w:id="324"/>
      <w:bookmarkEnd w:id="325"/>
      <w:bookmarkEnd w:id="326"/>
      <w:bookmarkEnd w:id="327"/>
    </w:p>
    <w:bookmarkEnd w:id="356"/>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港澳台人员（不得持有外国籍）的招聘，按照国家、福建省和厦门市有关规定办理。</w:t>
      </w:r>
    </w:p>
    <w:p>
      <w:pPr>
        <w:pStyle w:val="2"/>
        <w:rPr>
          <w:rFonts w:ascii="楷体" w:hAnsi="楷体" w:eastAsia="楷体" w:cs="楷体"/>
          <w:color w:val="000000" w:themeColor="text1"/>
          <w:sz w:val="32"/>
          <w:szCs w:val="32"/>
          <w14:textFill>
            <w14:solidFill>
              <w14:schemeClr w14:val="tx1"/>
            </w14:solidFill>
          </w14:textFill>
        </w:rPr>
      </w:pPr>
      <w:bookmarkStart w:id="357" w:name="_Toc1416"/>
      <w:r>
        <w:rPr>
          <w:rFonts w:hint="eastAsia" w:ascii="楷体" w:hAnsi="楷体" w:eastAsia="楷体" w:cs="楷体"/>
          <w:color w:val="000000" w:themeColor="text1"/>
          <w:sz w:val="32"/>
          <w:szCs w:val="32"/>
          <w14:textFill>
            <w14:solidFill>
              <w14:schemeClr w14:val="tx1"/>
            </w14:solidFill>
          </w14:textFill>
        </w:rPr>
        <w:t>（七）技工院校毕业生</w:t>
      </w:r>
      <w:bookmarkEnd w:id="357"/>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技工院校全日制高级工班、预备技师（技师）班毕业，</w:t>
      </w:r>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且毕业时已取得相应高级工、预备技师（技师）职业技能等级证书的，经</w:t>
      </w:r>
      <w:r>
        <w:rPr>
          <w:rFonts w:hint="eastAsia" w:ascii="??_GB2312" w:eastAsia="Times New Roman"/>
          <w:color w:val="000000" w:themeColor="text1"/>
          <w:sz w:val="32"/>
          <w:szCs w:val="32"/>
          <w:lang w:eastAsia="zh-CN"/>
          <w14:textFill>
            <w14:solidFill>
              <w14:schemeClr w14:val="tx1"/>
            </w14:solidFill>
          </w14:textFill>
        </w:rPr>
        <w:t>招</w:t>
      </w:r>
      <w:r>
        <w:rPr>
          <w:rFonts w:hint="eastAsia" w:ascii="??_GB2312" w:eastAsia="Times New Roman"/>
          <w:color w:val="000000" w:themeColor="text1"/>
          <w:sz w:val="32"/>
          <w:szCs w:val="32"/>
          <w14:textFill>
            <w14:solidFill>
              <w14:schemeClr w14:val="tx1"/>
            </w14:solidFill>
          </w14:textFill>
        </w:rPr>
        <w:t>聘单位及主管部门同意，可分别视同大专、本科学历，报考我市市、区属事业单位招聘岗位。</w:t>
      </w:r>
    </w:p>
    <w:p>
      <w:pPr>
        <w:pStyle w:val="2"/>
        <w:rPr>
          <w:rFonts w:ascii="黑体" w:hAnsi="黑体" w:eastAsia="黑体" w:cs="黑体"/>
          <w:color w:val="000000" w:themeColor="text1"/>
          <w:sz w:val="32"/>
          <w:szCs w:val="32"/>
          <w14:textFill>
            <w14:solidFill>
              <w14:schemeClr w14:val="tx1"/>
            </w14:solidFill>
          </w14:textFill>
        </w:rPr>
      </w:pPr>
      <w:bookmarkStart w:id="358" w:name="_Toc29924"/>
      <w:bookmarkStart w:id="359" w:name="_Toc2460"/>
      <w:bookmarkStart w:id="360" w:name="_Toc2095"/>
      <w:bookmarkStart w:id="361" w:name="_Toc4655"/>
      <w:bookmarkStart w:id="362" w:name="_Toc31670"/>
      <w:bookmarkStart w:id="363" w:name="_Toc17496"/>
      <w:bookmarkStart w:id="364" w:name="_Toc16887"/>
      <w:r>
        <w:rPr>
          <w:rFonts w:hint="eastAsia" w:ascii="黑体" w:hAnsi="黑体" w:eastAsia="黑体" w:cs="黑体"/>
          <w:color w:val="000000" w:themeColor="text1"/>
          <w:sz w:val="32"/>
          <w:szCs w:val="32"/>
          <w14:textFill>
            <w14:solidFill>
              <w14:schemeClr w14:val="tx1"/>
            </w14:solidFill>
          </w14:textFill>
        </w:rPr>
        <w:t>十五、疫情防控要求</w:t>
      </w:r>
      <w:bookmarkEnd w:id="358"/>
      <w:bookmarkEnd w:id="359"/>
      <w:bookmarkEnd w:id="360"/>
      <w:bookmarkEnd w:id="361"/>
      <w:bookmarkEnd w:id="362"/>
      <w:bookmarkEnd w:id="363"/>
      <w:bookmarkEnd w:id="364"/>
    </w:p>
    <w:p>
      <w:pPr>
        <w:ind w:firstLine="640" w:firstLineChars="20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本次招聘工作在组织实施全过程中，将按照新冠肺炎疫情防控有关要求，严格落实防疫措施，必要时如须对有关考试安排进行适当调整，将及时在招考系统中公告。考生应认真落实常态化疫情防控措施，自觉承担防疫责任，及时关注考前须知，配合做好安全承诺，确保顺利应考。凡隐瞒或谎报旅居史、接触史、健康状况等疫情防控重点信息，不配合工作人员进行防疫检测、询问、排查等造成严重后果的，取消其考试（聘用）资格，如有违法行为，将依法追究其法律责任。</w:t>
      </w:r>
    </w:p>
    <w:p>
      <w:pPr>
        <w:rPr>
          <w:rFonts w:ascii="??_GB2312"/>
          <w:color w:val="000000" w:themeColor="text1"/>
          <w:sz w:val="32"/>
          <w:szCs w:val="32"/>
          <w14:textFill>
            <w14:solidFill>
              <w14:schemeClr w14:val="tx1"/>
            </w14:solidFill>
          </w14:textFill>
        </w:rPr>
      </w:pPr>
    </w:p>
    <w:p>
      <w:pPr>
        <w:ind w:firstLine="640"/>
        <w:rPr>
          <w:rFonts w:hint="eastAsia" w:ascii="??_GB2312" w:eastAsia="Times New Roman"/>
          <w:color w:val="000000" w:themeColor="text1"/>
          <w:sz w:val="32"/>
          <w:szCs w:val="32"/>
          <w14:textFill>
            <w14:solidFill>
              <w14:schemeClr w14:val="tx1"/>
            </w14:solidFill>
          </w14:textFill>
        </w:rPr>
      </w:pPr>
      <w:r>
        <w:rPr>
          <w:rFonts w:hint="eastAsia" w:ascii="??_GB2312" w:eastAsia="Times New Roman"/>
          <w:color w:val="000000" w:themeColor="text1"/>
          <w:sz w:val="32"/>
          <w:szCs w:val="32"/>
          <w14:textFill>
            <w14:solidFill>
              <w14:schemeClr w14:val="tx1"/>
            </w14:solidFill>
          </w14:textFill>
        </w:rPr>
        <w:t>附件：《2021届高校毕业生报考承诺书》</w:t>
      </w:r>
    </w:p>
    <w:p>
      <w:pPr>
        <w:ind w:firstLine="640"/>
        <w:rPr>
          <w:rFonts w:hint="eastAsia" w:ascii="??_GB2312" w:eastAsia="Times New Roman"/>
          <w:color w:val="000000" w:themeColor="text1"/>
          <w:sz w:val="32"/>
          <w:szCs w:val="32"/>
          <w14:textFill>
            <w14:solidFill>
              <w14:schemeClr w14:val="tx1"/>
            </w14:solidFill>
          </w14:textFill>
        </w:rPr>
      </w:pPr>
    </w:p>
    <w:p>
      <w:pPr>
        <w:ind w:firstLine="640"/>
        <w:rPr>
          <w:rFonts w:hint="eastAsia" w:ascii="??_GB2312" w:eastAsia="Times New Roman"/>
          <w:color w:val="000000" w:themeColor="text1"/>
          <w:sz w:val="32"/>
          <w:szCs w:val="32"/>
          <w14:textFill>
            <w14:solidFill>
              <w14:schemeClr w14:val="tx1"/>
            </w14:solidFill>
          </w14:textFill>
        </w:rPr>
      </w:pPr>
    </w:p>
    <w:p>
      <w:pPr>
        <w:ind w:firstLine="640"/>
        <w:rPr>
          <w:rFonts w:hint="eastAsia" w:ascii="??_GB2312" w:eastAsia="Times New Roman"/>
          <w:color w:val="000000" w:themeColor="text1"/>
          <w:sz w:val="32"/>
          <w:szCs w:val="32"/>
          <w14:textFill>
            <w14:solidFill>
              <w14:schemeClr w14:val="tx1"/>
            </w14:solidFill>
          </w14:textFill>
        </w:rPr>
      </w:pPr>
    </w:p>
    <w:p>
      <w:pPr>
        <w:ind w:firstLine="640"/>
        <w:rPr>
          <w:rFonts w:hint="eastAsia" w:ascii="??_GB2312" w:eastAsia="Times New Roman"/>
          <w:color w:val="000000" w:themeColor="text1"/>
          <w:sz w:val="32"/>
          <w:szCs w:val="32"/>
          <w14:textFill>
            <w14:solidFill>
              <w14:schemeClr w14:val="tx1"/>
            </w14:solidFill>
          </w14:textFill>
        </w:rPr>
      </w:pPr>
    </w:p>
    <w:p>
      <w:pPr>
        <w:ind w:firstLine="640"/>
        <w:rPr>
          <w:rFonts w:hint="eastAsia" w:ascii="??_GB2312" w:eastAsia="Times New Roman"/>
          <w:color w:val="000000" w:themeColor="text1"/>
          <w:sz w:val="32"/>
          <w:szCs w:val="32"/>
          <w14:textFill>
            <w14:solidFill>
              <w14:schemeClr w14:val="tx1"/>
            </w14:solidFill>
          </w14:textFill>
        </w:rPr>
      </w:pPr>
    </w:p>
    <w:p>
      <w:pPr>
        <w:spacing w:beforeLines="50" w:line="560" w:lineRule="atLeast"/>
        <w:jc w:val="center"/>
        <w:rPr>
          <w:rFonts w:ascii="Arial" w:hAnsi="Arial" w:cs="Arial"/>
          <w:sz w:val="18"/>
          <w:szCs w:val="18"/>
        </w:rPr>
      </w:pPr>
      <w:r>
        <w:rPr>
          <w:rFonts w:ascii="宋体" w:hAnsi="宋体" w:cs="Arial"/>
          <w:bCs/>
          <w:sz w:val="36"/>
          <w:szCs w:val="36"/>
        </w:rPr>
        <w:t>2021</w:t>
      </w:r>
      <w:r>
        <w:rPr>
          <w:rFonts w:hint="eastAsia" w:ascii="Arial" w:hAnsi="Arial" w:cs="Arial"/>
          <w:bCs/>
          <w:sz w:val="36"/>
          <w:szCs w:val="36"/>
        </w:rPr>
        <w:t>届高校毕业生报考承诺书</w:t>
      </w:r>
    </w:p>
    <w:p>
      <w:pPr>
        <w:spacing w:line="360" w:lineRule="auto"/>
        <w:ind w:firstLine="150"/>
        <w:rPr>
          <w:rFonts w:ascii="仿宋" w:hAnsi="仿宋" w:eastAsia="仿宋" w:cs="Arial"/>
          <w:sz w:val="18"/>
          <w:szCs w:val="18"/>
        </w:rPr>
      </w:pPr>
      <w:r>
        <w:rPr>
          <w:rFonts w:ascii="宋体" w:cs="Arial"/>
          <w:sz w:val="30"/>
          <w:szCs w:val="30"/>
          <w:u w:val="single"/>
        </w:rPr>
        <w:t>    </w:t>
      </w:r>
      <w:r>
        <w:rPr>
          <w:rFonts w:ascii="宋体" w:hAnsi="宋体" w:cs="Arial"/>
          <w:sz w:val="30"/>
          <w:szCs w:val="30"/>
          <w:u w:val="single"/>
        </w:rPr>
        <w:t xml:space="preserve"> </w:t>
      </w:r>
      <w:r>
        <w:rPr>
          <w:rFonts w:ascii="宋体" w:cs="Arial"/>
          <w:sz w:val="30"/>
          <w:szCs w:val="30"/>
          <w:u w:val="single"/>
        </w:rPr>
        <w:t xml:space="preserve">                   </w:t>
      </w:r>
      <w:r>
        <w:rPr>
          <w:rFonts w:hint="eastAsia" w:ascii="仿宋" w:hAnsi="仿宋" w:eastAsia="仿宋" w:cs="Arial"/>
          <w:sz w:val="30"/>
          <w:szCs w:val="30"/>
        </w:rPr>
        <w:t>（报考单位名称）：</w:t>
      </w:r>
    </w:p>
    <w:p>
      <w:pPr>
        <w:spacing w:line="360" w:lineRule="auto"/>
        <w:ind w:firstLine="630"/>
        <w:rPr>
          <w:rFonts w:ascii="仿宋" w:hAnsi="仿宋" w:eastAsia="仿宋" w:cs="Arial"/>
          <w:sz w:val="30"/>
          <w:szCs w:val="30"/>
        </w:rPr>
      </w:pPr>
      <w:r>
        <w:rPr>
          <w:rFonts w:hint="eastAsia" w:ascii="仿宋" w:hAnsi="仿宋" w:eastAsia="仿宋" w:cs="Arial"/>
          <w:sz w:val="30"/>
          <w:szCs w:val="30"/>
        </w:rPr>
        <w:t>本人系全日制普通教育</w:t>
      </w:r>
      <w:r>
        <w:rPr>
          <w:rFonts w:ascii="仿宋" w:hAnsi="仿宋" w:eastAsia="仿宋" w:cs="Arial"/>
          <w:sz w:val="30"/>
          <w:szCs w:val="30"/>
        </w:rPr>
        <w:t>/</w:t>
      </w:r>
      <w:r>
        <w:rPr>
          <w:rFonts w:hint="eastAsia" w:ascii="仿宋" w:hAnsi="仿宋" w:eastAsia="仿宋" w:cs="Arial"/>
          <w:sz w:val="30"/>
          <w:szCs w:val="30"/>
        </w:rPr>
        <w:t>境外教育</w:t>
      </w:r>
      <w:r>
        <w:rPr>
          <w:rFonts w:ascii="仿宋" w:hAnsi="仿宋" w:eastAsia="仿宋" w:cs="Arial"/>
          <w:sz w:val="30"/>
          <w:szCs w:val="30"/>
        </w:rPr>
        <w:t>2021</w:t>
      </w:r>
      <w:r>
        <w:rPr>
          <w:rFonts w:hint="eastAsia" w:ascii="仿宋" w:hAnsi="仿宋" w:eastAsia="仿宋" w:cs="Arial"/>
          <w:sz w:val="30"/>
          <w:szCs w:val="30"/>
        </w:rPr>
        <w:t>届高校毕业生未取得学历（位）证书，现持学校签章的毕业生身份证明材料报考贵单位。</w:t>
      </w:r>
    </w:p>
    <w:p>
      <w:pPr>
        <w:spacing w:line="360" w:lineRule="auto"/>
        <w:ind w:firstLine="630"/>
        <w:rPr>
          <w:rFonts w:ascii="仿宋" w:hAnsi="仿宋" w:eastAsia="仿宋" w:cs="Arial"/>
          <w:sz w:val="30"/>
          <w:szCs w:val="30"/>
        </w:rPr>
      </w:pPr>
      <w:r>
        <w:rPr>
          <w:rFonts w:hint="eastAsia" w:ascii="仿宋" w:hAnsi="仿宋" w:eastAsia="仿宋" w:cs="Arial"/>
          <w:sz w:val="30"/>
          <w:szCs w:val="30"/>
        </w:rPr>
        <w:t>一、个人身份信息：姓名</w:t>
      </w:r>
      <w:r>
        <w:rPr>
          <w:rFonts w:ascii="宋体" w:cs="Arial"/>
          <w:sz w:val="30"/>
          <w:szCs w:val="30"/>
          <w:u w:val="single"/>
        </w:rPr>
        <w:t xml:space="preserve">          </w:t>
      </w:r>
      <w:r>
        <w:rPr>
          <w:rFonts w:hint="eastAsia" w:ascii="仿宋" w:hAnsi="仿宋" w:eastAsia="仿宋" w:cs="Arial"/>
          <w:sz w:val="30"/>
          <w:szCs w:val="30"/>
        </w:rPr>
        <w:t>性别</w:t>
      </w:r>
      <w:r>
        <w:rPr>
          <w:rFonts w:ascii="宋体" w:cs="Arial"/>
          <w:sz w:val="30"/>
          <w:szCs w:val="30"/>
          <w:u w:val="single"/>
        </w:rPr>
        <w:t xml:space="preserve">   </w:t>
      </w:r>
      <w:r>
        <w:rPr>
          <w:rFonts w:hint="eastAsia" w:ascii="仿宋" w:hAnsi="仿宋" w:eastAsia="仿宋" w:cs="Arial"/>
          <w:sz w:val="30"/>
          <w:szCs w:val="30"/>
        </w:rPr>
        <w:t>身份证号</w:t>
      </w:r>
      <w:r>
        <w:rPr>
          <w:rFonts w:ascii="宋体" w:cs="Arial"/>
          <w:sz w:val="30"/>
          <w:szCs w:val="30"/>
          <w:u w:val="single"/>
        </w:rPr>
        <w:t>      </w:t>
      </w:r>
      <w:r>
        <w:rPr>
          <w:rFonts w:ascii="宋体" w:hAnsi="宋体" w:cs="Arial"/>
          <w:sz w:val="30"/>
          <w:szCs w:val="30"/>
          <w:u w:val="single"/>
        </w:rPr>
        <w:t xml:space="preserve">        </w:t>
      </w:r>
    </w:p>
    <w:p>
      <w:pPr>
        <w:spacing w:line="360" w:lineRule="auto"/>
        <w:ind w:firstLine="30"/>
        <w:rPr>
          <w:rFonts w:ascii="仿宋" w:hAnsi="仿宋" w:eastAsia="仿宋" w:cs="Arial"/>
          <w:sz w:val="30"/>
          <w:szCs w:val="30"/>
        </w:rPr>
      </w:pPr>
      <w:r>
        <w:rPr>
          <w:rFonts w:hint="eastAsia" w:ascii="仿宋" w:hAnsi="仿宋" w:eastAsia="仿宋" w:cs="Arial"/>
          <w:sz w:val="30"/>
          <w:szCs w:val="30"/>
        </w:rPr>
        <w:t>就读院校及专业</w:t>
      </w:r>
      <w:r>
        <w:rPr>
          <w:rFonts w:ascii="宋体" w:cs="Arial"/>
          <w:sz w:val="30"/>
          <w:szCs w:val="30"/>
          <w:u w:val="single"/>
        </w:rPr>
        <w:t> </w:t>
      </w:r>
      <w:r>
        <w:rPr>
          <w:rFonts w:ascii="宋体" w:hAnsi="宋体" w:cs="Arial"/>
          <w:sz w:val="30"/>
          <w:szCs w:val="30"/>
          <w:u w:val="single"/>
        </w:rPr>
        <w:t xml:space="preserve">                   </w:t>
      </w:r>
      <w:r>
        <w:rPr>
          <w:rFonts w:ascii="宋体" w:cs="Arial"/>
          <w:sz w:val="30"/>
          <w:szCs w:val="30"/>
          <w:u w:val="single"/>
        </w:rPr>
        <w:t xml:space="preserve">       </w:t>
      </w:r>
      <w:r>
        <w:rPr>
          <w:rFonts w:hint="eastAsia" w:ascii="仿宋" w:hAnsi="仿宋" w:eastAsia="仿宋" w:cs="Arial"/>
          <w:sz w:val="30"/>
          <w:szCs w:val="30"/>
        </w:rPr>
        <w:t>，专业方向</w:t>
      </w:r>
      <w:r>
        <w:rPr>
          <w:rFonts w:ascii="宋体" w:cs="Arial"/>
          <w:sz w:val="30"/>
          <w:szCs w:val="30"/>
          <w:u w:val="single"/>
        </w:rPr>
        <w:t> </w:t>
      </w:r>
      <w:r>
        <w:rPr>
          <w:rFonts w:ascii="宋体" w:hAnsi="宋体" w:cs="Arial"/>
          <w:sz w:val="30"/>
          <w:szCs w:val="30"/>
          <w:u w:val="single"/>
        </w:rPr>
        <w:t xml:space="preserve">     </w:t>
      </w:r>
      <w:r>
        <w:rPr>
          <w:rFonts w:ascii="宋体" w:cs="Arial"/>
          <w:sz w:val="30"/>
          <w:szCs w:val="30"/>
          <w:u w:val="single"/>
        </w:rPr>
        <w:t xml:space="preserve">      </w:t>
      </w:r>
      <w:r>
        <w:rPr>
          <w:rFonts w:hint="eastAsia" w:ascii="仿宋" w:hAnsi="仿宋" w:eastAsia="仿宋" w:cs="Arial"/>
          <w:sz w:val="30"/>
          <w:szCs w:val="30"/>
        </w:rPr>
        <w:t>。</w:t>
      </w:r>
    </w:p>
    <w:p>
      <w:pPr>
        <w:spacing w:line="360" w:lineRule="auto"/>
        <w:ind w:firstLine="630"/>
        <w:rPr>
          <w:rFonts w:ascii="仿宋" w:hAnsi="仿宋" w:eastAsia="仿宋" w:cs="Arial"/>
          <w:sz w:val="30"/>
          <w:szCs w:val="30"/>
        </w:rPr>
      </w:pPr>
      <w:r>
        <w:rPr>
          <w:rFonts w:hint="eastAsia" w:ascii="仿宋" w:hAnsi="仿宋" w:eastAsia="仿宋" w:cs="Arial"/>
          <w:sz w:val="30"/>
          <w:szCs w:val="30"/>
        </w:rPr>
        <w:t>二、报考岗位代码：</w:t>
      </w:r>
      <w:r>
        <w:rPr>
          <w:rFonts w:ascii="宋体" w:cs="Arial"/>
          <w:sz w:val="30"/>
          <w:szCs w:val="30"/>
          <w:u w:val="single"/>
        </w:rPr>
        <w:t>  </w:t>
      </w:r>
      <w:r>
        <w:rPr>
          <w:rFonts w:ascii="宋体" w:hAnsi="宋体" w:cs="Arial"/>
          <w:sz w:val="30"/>
          <w:szCs w:val="30"/>
          <w:u w:val="single"/>
        </w:rPr>
        <w:t xml:space="preserve"> </w:t>
      </w:r>
      <w:r>
        <w:rPr>
          <w:rFonts w:ascii="宋体" w:cs="Arial"/>
          <w:sz w:val="30"/>
          <w:szCs w:val="30"/>
          <w:u w:val="single"/>
        </w:rPr>
        <w:t> </w:t>
      </w:r>
      <w:r>
        <w:rPr>
          <w:rFonts w:ascii="宋体" w:hAnsi="宋体" w:cs="Arial"/>
          <w:sz w:val="30"/>
          <w:szCs w:val="30"/>
          <w:u w:val="single"/>
        </w:rPr>
        <w:t xml:space="preserve">            </w:t>
      </w:r>
      <w:r>
        <w:rPr>
          <w:rFonts w:hint="eastAsia" w:ascii="仿宋" w:hAnsi="仿宋" w:eastAsia="仿宋" w:cs="Arial"/>
          <w:sz w:val="30"/>
          <w:szCs w:val="30"/>
        </w:rPr>
        <w:t>。</w:t>
      </w:r>
    </w:p>
    <w:p>
      <w:pPr>
        <w:spacing w:line="360" w:lineRule="auto"/>
        <w:ind w:firstLine="630"/>
        <w:rPr>
          <w:rFonts w:ascii="仿宋" w:hAnsi="仿宋" w:eastAsia="仿宋" w:cs="Arial"/>
          <w:sz w:val="30"/>
          <w:szCs w:val="30"/>
        </w:rPr>
      </w:pPr>
      <w:r>
        <w:rPr>
          <w:rFonts w:hint="eastAsia" w:ascii="仿宋" w:hAnsi="仿宋" w:eastAsia="仿宋" w:cs="Arial"/>
          <w:sz w:val="30"/>
          <w:szCs w:val="30"/>
        </w:rPr>
        <w:t>三、承诺内容：</w:t>
      </w:r>
    </w:p>
    <w:p>
      <w:pPr>
        <w:spacing w:line="360" w:lineRule="auto"/>
        <w:ind w:firstLine="630"/>
        <w:rPr>
          <w:rFonts w:ascii="仿宋" w:hAnsi="仿宋" w:eastAsia="仿宋" w:cs="Arial"/>
          <w:sz w:val="30"/>
          <w:szCs w:val="30"/>
        </w:rPr>
      </w:pPr>
      <w:r>
        <w:rPr>
          <w:rFonts w:hint="eastAsia" w:ascii="仿宋" w:hAnsi="仿宋" w:eastAsia="仿宋" w:cs="Arial"/>
          <w:sz w:val="30"/>
          <w:szCs w:val="30"/>
        </w:rPr>
        <w:t>本人系：</w:t>
      </w:r>
    </w:p>
    <w:p>
      <w:pPr>
        <w:spacing w:line="360" w:lineRule="auto"/>
        <w:ind w:firstLine="630"/>
        <w:rPr>
          <w:rFonts w:ascii="仿宋" w:hAnsi="仿宋" w:eastAsia="仿宋" w:cs="Arial"/>
          <w:sz w:val="30"/>
          <w:szCs w:val="30"/>
        </w:rPr>
      </w:pPr>
      <w:r>
        <w:rPr>
          <w:rFonts w:hint="eastAsia" w:ascii="仿宋" w:hAnsi="仿宋" w:eastAsia="仿宋" w:cs="Arial"/>
          <w:sz w:val="30"/>
          <w:szCs w:val="30"/>
        </w:rPr>
        <w:t>□</w:t>
      </w:r>
      <w:r>
        <w:rPr>
          <w:rFonts w:ascii="仿宋" w:hAnsi="仿宋" w:eastAsia="仿宋" w:cs="Arial"/>
          <w:sz w:val="30"/>
          <w:szCs w:val="30"/>
        </w:rPr>
        <w:t xml:space="preserve"> 1.</w:t>
      </w:r>
      <w:r>
        <w:rPr>
          <w:rFonts w:hint="eastAsia" w:ascii="仿宋" w:hAnsi="仿宋" w:eastAsia="仿宋" w:cs="Arial"/>
          <w:sz w:val="30"/>
          <w:szCs w:val="30"/>
        </w:rPr>
        <w:t>全日制普通教育</w:t>
      </w:r>
      <w:r>
        <w:rPr>
          <w:rFonts w:ascii="仿宋" w:hAnsi="仿宋" w:eastAsia="仿宋" w:cs="Arial"/>
          <w:sz w:val="30"/>
          <w:szCs w:val="30"/>
        </w:rPr>
        <w:t>2021</w:t>
      </w:r>
      <w:r>
        <w:rPr>
          <w:rFonts w:hint="eastAsia" w:ascii="仿宋" w:hAnsi="仿宋" w:eastAsia="仿宋" w:cs="Arial"/>
          <w:sz w:val="30"/>
          <w:szCs w:val="30"/>
        </w:rPr>
        <w:t>届本科学历毕业生，</w:t>
      </w:r>
      <w:r>
        <w:rPr>
          <w:rFonts w:hint="eastAsia" w:ascii="仿宋" w:hAnsi="仿宋" w:eastAsia="仿宋" w:cs="Arial"/>
          <w:color w:val="000000"/>
          <w:sz w:val="30"/>
          <w:szCs w:val="30"/>
        </w:rPr>
        <w:t>承诺</w:t>
      </w:r>
      <w:r>
        <w:rPr>
          <w:rFonts w:hint="eastAsia" w:ascii="仿宋" w:hAnsi="仿宋" w:eastAsia="仿宋" w:cs="Arial"/>
          <w:sz w:val="30"/>
          <w:szCs w:val="30"/>
        </w:rPr>
        <w:t>于</w:t>
      </w:r>
      <w:r>
        <w:rPr>
          <w:rFonts w:ascii="仿宋" w:hAnsi="仿宋" w:eastAsia="仿宋" w:cs="Arial"/>
          <w:sz w:val="30"/>
          <w:szCs w:val="30"/>
        </w:rPr>
        <w:t>2021</w:t>
      </w:r>
      <w:r>
        <w:rPr>
          <w:rFonts w:hint="eastAsia" w:ascii="仿宋" w:hAnsi="仿宋" w:eastAsia="仿宋" w:cs="Arial"/>
          <w:sz w:val="30"/>
          <w:szCs w:val="30"/>
        </w:rPr>
        <w:t>年</w:t>
      </w:r>
      <w:r>
        <w:rPr>
          <w:rFonts w:ascii="仿宋" w:hAnsi="仿宋" w:eastAsia="仿宋" w:cs="Arial"/>
          <w:sz w:val="30"/>
          <w:szCs w:val="30"/>
        </w:rPr>
        <w:t>9</w:t>
      </w:r>
      <w:r>
        <w:rPr>
          <w:rFonts w:hint="eastAsia" w:ascii="仿宋" w:hAnsi="仿宋" w:eastAsia="仿宋" w:cs="Arial"/>
          <w:sz w:val="30"/>
          <w:szCs w:val="30"/>
        </w:rPr>
        <w:t>月</w:t>
      </w:r>
      <w:r>
        <w:rPr>
          <w:rFonts w:ascii="仿宋" w:hAnsi="仿宋" w:eastAsia="仿宋" w:cs="Arial"/>
          <w:sz w:val="30"/>
          <w:szCs w:val="30"/>
        </w:rPr>
        <w:t>30</w:t>
      </w:r>
      <w:r>
        <w:rPr>
          <w:rFonts w:hint="eastAsia" w:ascii="仿宋" w:hAnsi="仿宋" w:eastAsia="仿宋" w:cs="Arial"/>
          <w:sz w:val="30"/>
          <w:szCs w:val="30"/>
        </w:rPr>
        <w:t>日前取得并提供学历（位）证书；</w:t>
      </w:r>
      <w:r>
        <w:rPr>
          <w:rFonts w:ascii="仿宋" w:hAnsi="仿宋" w:eastAsia="仿宋" w:cs="Arial"/>
          <w:sz w:val="30"/>
          <w:szCs w:val="30"/>
        </w:rPr>
        <w:t xml:space="preserve">       </w:t>
      </w:r>
    </w:p>
    <w:p>
      <w:pPr>
        <w:spacing w:line="360" w:lineRule="auto"/>
        <w:ind w:firstLine="630"/>
        <w:rPr>
          <w:rFonts w:ascii="仿宋" w:hAnsi="仿宋" w:eastAsia="仿宋" w:cs="Arial"/>
          <w:sz w:val="30"/>
          <w:szCs w:val="30"/>
        </w:rPr>
      </w:pPr>
      <w:r>
        <w:rPr>
          <w:rFonts w:hint="eastAsia" w:ascii="仿宋" w:hAnsi="仿宋" w:eastAsia="仿宋" w:cs="Arial"/>
          <w:sz w:val="30"/>
          <w:szCs w:val="30"/>
        </w:rPr>
        <w:t>□</w:t>
      </w:r>
      <w:r>
        <w:rPr>
          <w:rFonts w:ascii="仿宋" w:hAnsi="仿宋" w:eastAsia="仿宋" w:cs="Arial"/>
          <w:sz w:val="30"/>
          <w:szCs w:val="30"/>
        </w:rPr>
        <w:t xml:space="preserve"> 2.</w:t>
      </w:r>
      <w:r>
        <w:rPr>
          <w:rFonts w:hint="eastAsia" w:ascii="仿宋" w:hAnsi="仿宋" w:eastAsia="仿宋" w:cs="Arial"/>
          <w:sz w:val="30"/>
          <w:szCs w:val="30"/>
        </w:rPr>
        <w:t>全日制普通教育</w:t>
      </w:r>
      <w:r>
        <w:rPr>
          <w:rFonts w:ascii="仿宋" w:hAnsi="仿宋" w:eastAsia="仿宋" w:cs="Arial"/>
          <w:sz w:val="30"/>
          <w:szCs w:val="30"/>
        </w:rPr>
        <w:t>2021</w:t>
      </w:r>
      <w:r>
        <w:rPr>
          <w:rFonts w:hint="eastAsia" w:ascii="仿宋" w:hAnsi="仿宋" w:eastAsia="仿宋" w:cs="Arial"/>
          <w:sz w:val="30"/>
          <w:szCs w:val="30"/>
        </w:rPr>
        <w:t>届</w:t>
      </w:r>
      <w:r>
        <w:rPr>
          <w:rFonts w:hint="eastAsia" w:ascii="仿宋" w:hAnsi="仿宋" w:eastAsia="仿宋" w:cs="Arial"/>
          <w:color w:val="000000"/>
          <w:sz w:val="30"/>
          <w:szCs w:val="30"/>
        </w:rPr>
        <w:t>研究生</w:t>
      </w:r>
      <w:r>
        <w:rPr>
          <w:rFonts w:hint="eastAsia" w:ascii="仿宋" w:hAnsi="仿宋" w:eastAsia="仿宋" w:cs="Arial"/>
          <w:sz w:val="30"/>
          <w:szCs w:val="30"/>
        </w:rPr>
        <w:t>学历毕业生，</w:t>
      </w:r>
      <w:r>
        <w:rPr>
          <w:rFonts w:hint="eastAsia" w:ascii="仿宋" w:hAnsi="仿宋" w:eastAsia="仿宋" w:cs="Arial"/>
          <w:color w:val="000000"/>
          <w:sz w:val="30"/>
          <w:szCs w:val="30"/>
        </w:rPr>
        <w:t>承诺</w:t>
      </w:r>
      <w:r>
        <w:rPr>
          <w:rFonts w:hint="eastAsia" w:ascii="仿宋" w:hAnsi="仿宋" w:eastAsia="仿宋" w:cs="Arial"/>
          <w:sz w:val="30"/>
          <w:szCs w:val="30"/>
        </w:rPr>
        <w:t>于</w:t>
      </w:r>
      <w:r>
        <w:rPr>
          <w:rFonts w:ascii="仿宋" w:hAnsi="仿宋" w:eastAsia="仿宋" w:cs="Arial"/>
          <w:sz w:val="30"/>
          <w:szCs w:val="30"/>
        </w:rPr>
        <w:t>2021</w:t>
      </w:r>
      <w:r>
        <w:rPr>
          <w:rFonts w:hint="eastAsia" w:ascii="仿宋" w:hAnsi="仿宋" w:eastAsia="仿宋" w:cs="Arial"/>
          <w:sz w:val="30"/>
          <w:szCs w:val="30"/>
        </w:rPr>
        <w:t>年</w:t>
      </w:r>
      <w:r>
        <w:rPr>
          <w:rFonts w:ascii="仿宋" w:hAnsi="仿宋" w:eastAsia="仿宋" w:cs="Arial"/>
          <w:sz w:val="30"/>
          <w:szCs w:val="30"/>
        </w:rPr>
        <w:t>12</w:t>
      </w:r>
      <w:r>
        <w:rPr>
          <w:rFonts w:hint="eastAsia" w:ascii="仿宋" w:hAnsi="仿宋" w:eastAsia="仿宋" w:cs="Arial"/>
          <w:sz w:val="30"/>
          <w:szCs w:val="30"/>
        </w:rPr>
        <w:t>月</w:t>
      </w:r>
      <w:r>
        <w:rPr>
          <w:rFonts w:ascii="仿宋" w:hAnsi="仿宋" w:eastAsia="仿宋" w:cs="Arial"/>
          <w:sz w:val="30"/>
          <w:szCs w:val="30"/>
        </w:rPr>
        <w:t>31</w:t>
      </w:r>
      <w:r>
        <w:rPr>
          <w:rFonts w:hint="eastAsia" w:ascii="仿宋" w:hAnsi="仿宋" w:eastAsia="仿宋" w:cs="Arial"/>
          <w:sz w:val="30"/>
          <w:szCs w:val="30"/>
        </w:rPr>
        <w:t>日前取得并提供学历（位）证书。</w:t>
      </w:r>
    </w:p>
    <w:p>
      <w:pPr>
        <w:spacing w:line="360" w:lineRule="auto"/>
        <w:ind w:firstLine="630"/>
        <w:rPr>
          <w:rFonts w:ascii="仿宋" w:hAnsi="仿宋" w:eastAsia="仿宋" w:cs="Arial"/>
          <w:sz w:val="30"/>
          <w:szCs w:val="30"/>
        </w:rPr>
      </w:pPr>
      <w:r>
        <w:rPr>
          <w:rFonts w:hint="eastAsia" w:ascii="仿宋" w:hAnsi="仿宋" w:eastAsia="仿宋" w:cs="Arial"/>
          <w:sz w:val="30"/>
          <w:szCs w:val="30"/>
        </w:rPr>
        <w:t>□</w:t>
      </w:r>
      <w:r>
        <w:rPr>
          <w:rFonts w:ascii="仿宋" w:hAnsi="仿宋" w:eastAsia="仿宋" w:cs="Arial"/>
          <w:sz w:val="30"/>
          <w:szCs w:val="30"/>
        </w:rPr>
        <w:t xml:space="preserve"> 3.</w:t>
      </w:r>
      <w:r>
        <w:rPr>
          <w:rFonts w:hint="eastAsia" w:ascii="仿宋" w:hAnsi="仿宋" w:eastAsia="仿宋" w:cs="Arial"/>
          <w:sz w:val="30"/>
          <w:szCs w:val="30"/>
        </w:rPr>
        <w:t>境外教育</w:t>
      </w:r>
      <w:r>
        <w:rPr>
          <w:rFonts w:ascii="仿宋" w:hAnsi="仿宋" w:eastAsia="仿宋" w:cs="Arial"/>
          <w:sz w:val="30"/>
          <w:szCs w:val="30"/>
        </w:rPr>
        <w:t>2021</w:t>
      </w:r>
      <w:r>
        <w:rPr>
          <w:rFonts w:hint="eastAsia" w:ascii="仿宋" w:hAnsi="仿宋" w:eastAsia="仿宋" w:cs="Arial"/>
          <w:sz w:val="30"/>
          <w:szCs w:val="30"/>
        </w:rPr>
        <w:t>届</w:t>
      </w:r>
      <w:r>
        <w:rPr>
          <w:rFonts w:hint="eastAsia" w:ascii="仿宋" w:hAnsi="仿宋" w:eastAsia="仿宋" w:cs="Arial"/>
          <w:color w:val="000000"/>
          <w:sz w:val="30"/>
          <w:szCs w:val="30"/>
        </w:rPr>
        <w:t>毕业生</w:t>
      </w:r>
      <w:r>
        <w:rPr>
          <w:rFonts w:hint="eastAsia" w:ascii="仿宋" w:hAnsi="仿宋" w:eastAsia="仿宋" w:cs="Arial"/>
          <w:sz w:val="30"/>
          <w:szCs w:val="30"/>
        </w:rPr>
        <w:t>，</w:t>
      </w:r>
      <w:r>
        <w:rPr>
          <w:rFonts w:hint="eastAsia" w:ascii="仿宋" w:hAnsi="仿宋" w:eastAsia="仿宋" w:cs="Arial"/>
          <w:color w:val="000000"/>
          <w:sz w:val="30"/>
          <w:szCs w:val="30"/>
        </w:rPr>
        <w:t>承诺</w:t>
      </w:r>
      <w:r>
        <w:rPr>
          <w:rFonts w:hint="eastAsia" w:ascii="仿宋" w:hAnsi="仿宋" w:eastAsia="仿宋" w:cs="Arial"/>
          <w:sz w:val="30"/>
          <w:szCs w:val="30"/>
        </w:rPr>
        <w:t>于</w:t>
      </w:r>
      <w:r>
        <w:rPr>
          <w:rFonts w:ascii="仿宋" w:hAnsi="仿宋" w:eastAsia="仿宋" w:cs="Arial"/>
          <w:sz w:val="30"/>
          <w:szCs w:val="30"/>
        </w:rPr>
        <w:t>2021</w:t>
      </w:r>
      <w:r>
        <w:rPr>
          <w:rFonts w:hint="eastAsia" w:ascii="仿宋" w:hAnsi="仿宋" w:eastAsia="仿宋" w:cs="Arial"/>
          <w:sz w:val="30"/>
          <w:szCs w:val="30"/>
        </w:rPr>
        <w:t>年</w:t>
      </w:r>
      <w:r>
        <w:rPr>
          <w:rFonts w:ascii="仿宋" w:hAnsi="仿宋" w:eastAsia="仿宋" w:cs="Arial"/>
          <w:sz w:val="30"/>
          <w:szCs w:val="30"/>
        </w:rPr>
        <w:t>12</w:t>
      </w:r>
      <w:r>
        <w:rPr>
          <w:rFonts w:hint="eastAsia" w:ascii="仿宋" w:hAnsi="仿宋" w:eastAsia="仿宋" w:cs="Arial"/>
          <w:sz w:val="30"/>
          <w:szCs w:val="30"/>
        </w:rPr>
        <w:t>月</w:t>
      </w:r>
      <w:r>
        <w:rPr>
          <w:rFonts w:ascii="仿宋" w:hAnsi="仿宋" w:eastAsia="仿宋" w:cs="Arial"/>
          <w:sz w:val="30"/>
          <w:szCs w:val="30"/>
        </w:rPr>
        <w:t>31</w:t>
      </w:r>
      <w:r>
        <w:rPr>
          <w:rFonts w:hint="eastAsia" w:ascii="仿宋" w:hAnsi="仿宋" w:eastAsia="仿宋" w:cs="Arial"/>
          <w:sz w:val="30"/>
          <w:szCs w:val="30"/>
        </w:rPr>
        <w:t>日前取得并提供学历（位）证书。</w:t>
      </w:r>
    </w:p>
    <w:p>
      <w:pPr>
        <w:spacing w:line="360" w:lineRule="auto"/>
        <w:ind w:firstLine="630"/>
        <w:rPr>
          <w:rFonts w:ascii="仿宋" w:hAnsi="仿宋" w:eastAsia="仿宋" w:cs="Arial"/>
          <w:sz w:val="30"/>
          <w:szCs w:val="30"/>
        </w:rPr>
      </w:pPr>
      <w:r>
        <w:rPr>
          <w:rFonts w:hint="eastAsia" w:ascii="仿宋" w:hAnsi="仿宋" w:eastAsia="仿宋" w:cs="Arial"/>
          <w:sz w:val="30"/>
          <w:szCs w:val="30"/>
        </w:rPr>
        <w:t>如未能在上述承诺期限内，提交学历（位）证书或学历（位）证书注明的专业与岗位要求的专业不符而引发不予办理聘用手续等情形，本人自愿放弃</w:t>
      </w:r>
      <w:r>
        <w:rPr>
          <w:rFonts w:hint="eastAsia" w:ascii="仿宋" w:hAnsi="仿宋" w:eastAsia="仿宋" w:cs="Arial"/>
          <w:color w:val="000000"/>
          <w:sz w:val="30"/>
          <w:szCs w:val="30"/>
        </w:rPr>
        <w:t>本次考试聘用资格</w:t>
      </w:r>
      <w:r>
        <w:rPr>
          <w:rFonts w:hint="eastAsia" w:ascii="仿宋" w:hAnsi="仿宋" w:eastAsia="仿宋" w:cs="Arial"/>
          <w:sz w:val="30"/>
          <w:szCs w:val="30"/>
        </w:rPr>
        <w:t>。</w:t>
      </w:r>
    </w:p>
    <w:p>
      <w:pPr>
        <w:spacing w:line="360" w:lineRule="auto"/>
        <w:ind w:firstLine="4500" w:firstLineChars="1500"/>
        <w:rPr>
          <w:rFonts w:ascii="仿宋" w:hAnsi="仿宋" w:eastAsia="仿宋" w:cs="Arial"/>
          <w:sz w:val="30"/>
          <w:szCs w:val="30"/>
        </w:rPr>
      </w:pPr>
      <w:r>
        <w:rPr>
          <w:rFonts w:hint="eastAsia" w:ascii="仿宋" w:hAnsi="仿宋" w:eastAsia="仿宋" w:cs="Arial"/>
          <w:sz w:val="30"/>
          <w:szCs w:val="30"/>
        </w:rPr>
        <w:t>承诺人（签名）：</w:t>
      </w:r>
    </w:p>
    <w:p>
      <w:pPr>
        <w:spacing w:line="360" w:lineRule="auto"/>
        <w:ind w:firstLine="5550" w:firstLineChars="1850"/>
        <w:rPr>
          <w:rFonts w:hint="eastAsia" w:ascii="??_GB2312" w:eastAsia="Times New Roman"/>
          <w:color w:val="000000" w:themeColor="text1"/>
          <w:sz w:val="32"/>
          <w:szCs w:val="32"/>
          <w14:textFill>
            <w14:solidFill>
              <w14:schemeClr w14:val="tx1"/>
            </w14:solidFill>
          </w14:textFill>
        </w:rPr>
      </w:pPr>
      <w:r>
        <w:rPr>
          <w:rFonts w:ascii="仿宋" w:hAnsi="仿宋" w:eastAsia="仿宋" w:cs="Arial"/>
          <w:sz w:val="30"/>
          <w:szCs w:val="30"/>
        </w:rPr>
        <w:t>2021</w:t>
      </w:r>
      <w:r>
        <w:rPr>
          <w:rFonts w:hint="eastAsia" w:ascii="仿宋" w:hAnsi="仿宋" w:eastAsia="仿宋" w:cs="Arial"/>
          <w:sz w:val="30"/>
          <w:szCs w:val="30"/>
        </w:rPr>
        <w:t>年</w:t>
      </w:r>
      <w:r>
        <w:rPr>
          <w:rFonts w:ascii="仿宋" w:hAnsi="仿宋" w:eastAsia="仿宋" w:cs="Arial"/>
          <w:sz w:val="30"/>
          <w:szCs w:val="30"/>
        </w:rPr>
        <w:t xml:space="preserve">   </w:t>
      </w:r>
      <w:r>
        <w:rPr>
          <w:rFonts w:hint="eastAsia" w:ascii="仿宋" w:hAnsi="仿宋" w:eastAsia="仿宋" w:cs="Arial"/>
          <w:sz w:val="30"/>
          <w:szCs w:val="30"/>
        </w:rPr>
        <w:t>月</w:t>
      </w:r>
      <w:r>
        <w:rPr>
          <w:rFonts w:ascii="仿宋" w:hAnsi="仿宋" w:eastAsia="仿宋" w:cs="Arial"/>
          <w:sz w:val="30"/>
          <w:szCs w:val="30"/>
        </w:rPr>
        <w:t xml:space="preserve">   </w:t>
      </w:r>
      <w:r>
        <w:rPr>
          <w:rFonts w:hint="eastAsia" w:ascii="仿宋" w:hAnsi="仿宋" w:eastAsia="仿宋" w:cs="Arial"/>
          <w:sz w:val="30"/>
          <w:szCs w:val="30"/>
        </w:rPr>
        <w:t>日</w:t>
      </w:r>
      <w:bookmarkStart w:id="365" w:name="_GoBack"/>
      <w:bookmarkEnd w:id="365"/>
    </w:p>
    <w:sectPr>
      <w:footerReference r:id="rId4" w:type="default"/>
      <w:pgSz w:w="11906" w:h="16838"/>
      <w:pgMar w:top="1440" w:right="1800" w:bottom="1440" w:left="1800"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0574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05740" cy="139700"/>
                      </a:xfrm>
                      <a:prstGeom prst="rect">
                        <a:avLst/>
                      </a:prstGeom>
                      <a:noFill/>
                      <a:ln>
                        <a:noFill/>
                      </a:ln>
                    </wps:spPr>
                    <wps:txbx>
                      <w:txbxContent>
                        <w:p>
                          <w:pPr>
                            <w:pStyle w:val="5"/>
                          </w:pPr>
                          <w:r>
                            <w:fldChar w:fldCharType="begin"/>
                          </w:r>
                          <w:r>
                            <w:instrText xml:space="preserve"> PAGE  \* MERGEFORMAT </w:instrText>
                          </w:r>
                          <w:r>
                            <w:fldChar w:fldCharType="separate"/>
                          </w:r>
                          <w:r>
                            <w:t>18</w:t>
                          </w:r>
                          <w:r>
                            <w:fldChar w:fldCharType="end"/>
                          </w:r>
                        </w:p>
                      </w:txbxContent>
                    </wps:txbx>
                    <wps:bodyPr lIns="0" tIns="0" rIns="0" bIns="0" upright="1">
                      <a:spAutoFit/>
                    </wps:bodyPr>
                  </wps:wsp>
                </a:graphicData>
              </a:graphic>
            </wp:anchor>
          </w:drawing>
        </mc:Choice>
        <mc:Fallback>
          <w:pict>
            <v:shape id="_x0000_s1026" o:spid="_x0000_s1026" o:spt="202" type="#_x0000_t202" style="position:absolute;left:0pt;margin-top:0pt;height:11pt;width:16.2pt;mso-position-horizontal:center;mso-position-horizontal-relative:margin;z-index:251659264;mso-width-relative:page;mso-height-relative:page;" filled="f" stroked="f" coordsize="21600,21600" o:gfxdata="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sQ/+QtIAAAADAQAADwAAAAAAAAABACAAAAAiAAAAZHJzL2Rvd25yZXYueG1s&#10;UEsBAhQAFAAAAAgAh07iQBtpE4fFAQAAiwMAAA4AAAAAAAAAAQAgAAAAIQEAAGRycy9lMm9Eb2Mu&#10;eG1sUEsFBgAAAAAGAAYAWQEAAFg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18</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A16"/>
    <w:rsid w:val="00016772"/>
    <w:rsid w:val="00016CA4"/>
    <w:rsid w:val="0002071E"/>
    <w:rsid w:val="00027082"/>
    <w:rsid w:val="000303AD"/>
    <w:rsid w:val="0003041A"/>
    <w:rsid w:val="00042AC0"/>
    <w:rsid w:val="00050255"/>
    <w:rsid w:val="000622B6"/>
    <w:rsid w:val="00063A9C"/>
    <w:rsid w:val="00063AD5"/>
    <w:rsid w:val="00065CC8"/>
    <w:rsid w:val="00071CAD"/>
    <w:rsid w:val="0008184C"/>
    <w:rsid w:val="00093BC6"/>
    <w:rsid w:val="000955E7"/>
    <w:rsid w:val="0009674D"/>
    <w:rsid w:val="000A1B97"/>
    <w:rsid w:val="000A46C7"/>
    <w:rsid w:val="000B1950"/>
    <w:rsid w:val="000B7C44"/>
    <w:rsid w:val="000C1F4C"/>
    <w:rsid w:val="000C4C08"/>
    <w:rsid w:val="000D0986"/>
    <w:rsid w:val="000D726B"/>
    <w:rsid w:val="000E4363"/>
    <w:rsid w:val="000E50DB"/>
    <w:rsid w:val="000E59F3"/>
    <w:rsid w:val="000E64EA"/>
    <w:rsid w:val="000F528C"/>
    <w:rsid w:val="001005D9"/>
    <w:rsid w:val="00103DB7"/>
    <w:rsid w:val="001234FA"/>
    <w:rsid w:val="00124B0A"/>
    <w:rsid w:val="001272BE"/>
    <w:rsid w:val="001329AD"/>
    <w:rsid w:val="0013424A"/>
    <w:rsid w:val="00137BC5"/>
    <w:rsid w:val="00137D47"/>
    <w:rsid w:val="0014786A"/>
    <w:rsid w:val="001618A2"/>
    <w:rsid w:val="0016662B"/>
    <w:rsid w:val="00170E5A"/>
    <w:rsid w:val="0017342D"/>
    <w:rsid w:val="00175E5B"/>
    <w:rsid w:val="001819C6"/>
    <w:rsid w:val="0019120A"/>
    <w:rsid w:val="001A0706"/>
    <w:rsid w:val="001A6BBD"/>
    <w:rsid w:val="001A70DD"/>
    <w:rsid w:val="001B1D72"/>
    <w:rsid w:val="001B21A8"/>
    <w:rsid w:val="001B25C1"/>
    <w:rsid w:val="001B2FA4"/>
    <w:rsid w:val="001B680E"/>
    <w:rsid w:val="001B7D37"/>
    <w:rsid w:val="001D0820"/>
    <w:rsid w:val="001D4711"/>
    <w:rsid w:val="001E476C"/>
    <w:rsid w:val="001E6A5C"/>
    <w:rsid w:val="001F0653"/>
    <w:rsid w:val="001F0ED6"/>
    <w:rsid w:val="001F475F"/>
    <w:rsid w:val="001F7E2F"/>
    <w:rsid w:val="002061CD"/>
    <w:rsid w:val="0021215B"/>
    <w:rsid w:val="00213A6B"/>
    <w:rsid w:val="002245C5"/>
    <w:rsid w:val="00224E77"/>
    <w:rsid w:val="00231266"/>
    <w:rsid w:val="0023228B"/>
    <w:rsid w:val="00233B29"/>
    <w:rsid w:val="00235D5E"/>
    <w:rsid w:val="00235F2C"/>
    <w:rsid w:val="002666AA"/>
    <w:rsid w:val="0027223D"/>
    <w:rsid w:val="00282296"/>
    <w:rsid w:val="00283BE4"/>
    <w:rsid w:val="00283FFF"/>
    <w:rsid w:val="00290979"/>
    <w:rsid w:val="002922E9"/>
    <w:rsid w:val="002A3AE8"/>
    <w:rsid w:val="002A65E8"/>
    <w:rsid w:val="002B3A73"/>
    <w:rsid w:val="002B446A"/>
    <w:rsid w:val="002B5890"/>
    <w:rsid w:val="002C42C2"/>
    <w:rsid w:val="002C4507"/>
    <w:rsid w:val="002D0BA2"/>
    <w:rsid w:val="002D5793"/>
    <w:rsid w:val="002E072C"/>
    <w:rsid w:val="002E0CAD"/>
    <w:rsid w:val="002F1B7F"/>
    <w:rsid w:val="0030076C"/>
    <w:rsid w:val="00300F25"/>
    <w:rsid w:val="0030204A"/>
    <w:rsid w:val="0030661F"/>
    <w:rsid w:val="003067E5"/>
    <w:rsid w:val="00310D70"/>
    <w:rsid w:val="003154A1"/>
    <w:rsid w:val="00315EE3"/>
    <w:rsid w:val="00327AF8"/>
    <w:rsid w:val="00330915"/>
    <w:rsid w:val="0033348E"/>
    <w:rsid w:val="00335F99"/>
    <w:rsid w:val="00336D36"/>
    <w:rsid w:val="00337286"/>
    <w:rsid w:val="003410BE"/>
    <w:rsid w:val="00343557"/>
    <w:rsid w:val="00353D5B"/>
    <w:rsid w:val="0035642C"/>
    <w:rsid w:val="00382AD6"/>
    <w:rsid w:val="0039564C"/>
    <w:rsid w:val="003A0F44"/>
    <w:rsid w:val="003B1C99"/>
    <w:rsid w:val="003C24A4"/>
    <w:rsid w:val="003C38B7"/>
    <w:rsid w:val="003E083C"/>
    <w:rsid w:val="003E1F4E"/>
    <w:rsid w:val="003E3FEE"/>
    <w:rsid w:val="003E7241"/>
    <w:rsid w:val="003F4E37"/>
    <w:rsid w:val="00401E7B"/>
    <w:rsid w:val="00413DE3"/>
    <w:rsid w:val="00414A3A"/>
    <w:rsid w:val="0042671C"/>
    <w:rsid w:val="00427938"/>
    <w:rsid w:val="00434959"/>
    <w:rsid w:val="00436F26"/>
    <w:rsid w:val="004451E7"/>
    <w:rsid w:val="004556E8"/>
    <w:rsid w:val="00467060"/>
    <w:rsid w:val="004725EB"/>
    <w:rsid w:val="004930B3"/>
    <w:rsid w:val="00493F32"/>
    <w:rsid w:val="004A1B92"/>
    <w:rsid w:val="004A369B"/>
    <w:rsid w:val="004C0B30"/>
    <w:rsid w:val="004C1BA5"/>
    <w:rsid w:val="004E0D05"/>
    <w:rsid w:val="004E4CB6"/>
    <w:rsid w:val="004F1C6B"/>
    <w:rsid w:val="004F453D"/>
    <w:rsid w:val="004F7CB5"/>
    <w:rsid w:val="005060AB"/>
    <w:rsid w:val="00523A3B"/>
    <w:rsid w:val="0053129A"/>
    <w:rsid w:val="005323BC"/>
    <w:rsid w:val="00534DE3"/>
    <w:rsid w:val="00537166"/>
    <w:rsid w:val="00550721"/>
    <w:rsid w:val="00553921"/>
    <w:rsid w:val="00554E53"/>
    <w:rsid w:val="00555717"/>
    <w:rsid w:val="005627F0"/>
    <w:rsid w:val="00577F93"/>
    <w:rsid w:val="00586E30"/>
    <w:rsid w:val="005A04F5"/>
    <w:rsid w:val="005A2DCB"/>
    <w:rsid w:val="005A6053"/>
    <w:rsid w:val="005A74F4"/>
    <w:rsid w:val="005B20DD"/>
    <w:rsid w:val="005C1AC0"/>
    <w:rsid w:val="005C2D15"/>
    <w:rsid w:val="005C58C0"/>
    <w:rsid w:val="005C5EA7"/>
    <w:rsid w:val="005E0B2B"/>
    <w:rsid w:val="005E13F1"/>
    <w:rsid w:val="005F26ED"/>
    <w:rsid w:val="005F39A2"/>
    <w:rsid w:val="005F55D0"/>
    <w:rsid w:val="00602A83"/>
    <w:rsid w:val="006104A2"/>
    <w:rsid w:val="00614E71"/>
    <w:rsid w:val="00622817"/>
    <w:rsid w:val="00627B01"/>
    <w:rsid w:val="00637407"/>
    <w:rsid w:val="00641707"/>
    <w:rsid w:val="006423AD"/>
    <w:rsid w:val="00642F47"/>
    <w:rsid w:val="00650CF0"/>
    <w:rsid w:val="006536A4"/>
    <w:rsid w:val="00654EF4"/>
    <w:rsid w:val="00663E4F"/>
    <w:rsid w:val="006709C9"/>
    <w:rsid w:val="00671238"/>
    <w:rsid w:val="006877A7"/>
    <w:rsid w:val="00694C60"/>
    <w:rsid w:val="0069608C"/>
    <w:rsid w:val="0069650D"/>
    <w:rsid w:val="006975EC"/>
    <w:rsid w:val="006B167B"/>
    <w:rsid w:val="006B711D"/>
    <w:rsid w:val="006C2BFF"/>
    <w:rsid w:val="006C38DE"/>
    <w:rsid w:val="006D288A"/>
    <w:rsid w:val="006D2E75"/>
    <w:rsid w:val="006D3CAA"/>
    <w:rsid w:val="006D78FD"/>
    <w:rsid w:val="006E13DC"/>
    <w:rsid w:val="006E5748"/>
    <w:rsid w:val="006E606D"/>
    <w:rsid w:val="006F2E02"/>
    <w:rsid w:val="006F6D93"/>
    <w:rsid w:val="00713012"/>
    <w:rsid w:val="00717277"/>
    <w:rsid w:val="007279A8"/>
    <w:rsid w:val="00731ED0"/>
    <w:rsid w:val="00735FD8"/>
    <w:rsid w:val="0074225C"/>
    <w:rsid w:val="00742F6D"/>
    <w:rsid w:val="00742F9D"/>
    <w:rsid w:val="00746682"/>
    <w:rsid w:val="00750347"/>
    <w:rsid w:val="00756AB6"/>
    <w:rsid w:val="00775CCD"/>
    <w:rsid w:val="00787915"/>
    <w:rsid w:val="00795003"/>
    <w:rsid w:val="007A6434"/>
    <w:rsid w:val="007B321F"/>
    <w:rsid w:val="007C5614"/>
    <w:rsid w:val="007C56BB"/>
    <w:rsid w:val="007E348E"/>
    <w:rsid w:val="007F441D"/>
    <w:rsid w:val="007F740D"/>
    <w:rsid w:val="00805C84"/>
    <w:rsid w:val="00806068"/>
    <w:rsid w:val="00815EFD"/>
    <w:rsid w:val="008178C4"/>
    <w:rsid w:val="00817E69"/>
    <w:rsid w:val="0082264D"/>
    <w:rsid w:val="008257EF"/>
    <w:rsid w:val="00853AC5"/>
    <w:rsid w:val="00861707"/>
    <w:rsid w:val="008639DB"/>
    <w:rsid w:val="00864FF6"/>
    <w:rsid w:val="008659FF"/>
    <w:rsid w:val="0086689B"/>
    <w:rsid w:val="008674C4"/>
    <w:rsid w:val="00867ECC"/>
    <w:rsid w:val="00872C06"/>
    <w:rsid w:val="0087540B"/>
    <w:rsid w:val="00876D3C"/>
    <w:rsid w:val="0089017A"/>
    <w:rsid w:val="008915E7"/>
    <w:rsid w:val="0089650B"/>
    <w:rsid w:val="0089701A"/>
    <w:rsid w:val="008B14FE"/>
    <w:rsid w:val="008B2436"/>
    <w:rsid w:val="008B292B"/>
    <w:rsid w:val="008B4025"/>
    <w:rsid w:val="008B6243"/>
    <w:rsid w:val="008B7E7C"/>
    <w:rsid w:val="008C03BA"/>
    <w:rsid w:val="008C0DBD"/>
    <w:rsid w:val="008C52FB"/>
    <w:rsid w:val="008D045F"/>
    <w:rsid w:val="008D2B6F"/>
    <w:rsid w:val="008D2C3C"/>
    <w:rsid w:val="008D4B31"/>
    <w:rsid w:val="008E7452"/>
    <w:rsid w:val="00902FD2"/>
    <w:rsid w:val="00903312"/>
    <w:rsid w:val="00906754"/>
    <w:rsid w:val="0091057D"/>
    <w:rsid w:val="00926AAF"/>
    <w:rsid w:val="00934682"/>
    <w:rsid w:val="009353D5"/>
    <w:rsid w:val="009366ED"/>
    <w:rsid w:val="00940433"/>
    <w:rsid w:val="00940519"/>
    <w:rsid w:val="00943C10"/>
    <w:rsid w:val="00952852"/>
    <w:rsid w:val="009605A9"/>
    <w:rsid w:val="00970312"/>
    <w:rsid w:val="00970FC4"/>
    <w:rsid w:val="00974948"/>
    <w:rsid w:val="00975EDA"/>
    <w:rsid w:val="00980406"/>
    <w:rsid w:val="00982F1B"/>
    <w:rsid w:val="00985932"/>
    <w:rsid w:val="009A10CC"/>
    <w:rsid w:val="009A15F7"/>
    <w:rsid w:val="009B4412"/>
    <w:rsid w:val="009B45B4"/>
    <w:rsid w:val="009C20CB"/>
    <w:rsid w:val="009D2E8C"/>
    <w:rsid w:val="009D4F90"/>
    <w:rsid w:val="009E0871"/>
    <w:rsid w:val="009E344F"/>
    <w:rsid w:val="009F62A6"/>
    <w:rsid w:val="00A030A7"/>
    <w:rsid w:val="00A0472F"/>
    <w:rsid w:val="00A04E27"/>
    <w:rsid w:val="00A16F10"/>
    <w:rsid w:val="00A23FC6"/>
    <w:rsid w:val="00A34A24"/>
    <w:rsid w:val="00A40E79"/>
    <w:rsid w:val="00A456DD"/>
    <w:rsid w:val="00A503ED"/>
    <w:rsid w:val="00A53F6A"/>
    <w:rsid w:val="00A55BED"/>
    <w:rsid w:val="00A60A7B"/>
    <w:rsid w:val="00A62CDC"/>
    <w:rsid w:val="00A6598A"/>
    <w:rsid w:val="00A74E13"/>
    <w:rsid w:val="00A7526C"/>
    <w:rsid w:val="00A75719"/>
    <w:rsid w:val="00A807E0"/>
    <w:rsid w:val="00A82BDF"/>
    <w:rsid w:val="00A8342F"/>
    <w:rsid w:val="00A83B27"/>
    <w:rsid w:val="00A849AB"/>
    <w:rsid w:val="00A904C7"/>
    <w:rsid w:val="00A948E8"/>
    <w:rsid w:val="00A95078"/>
    <w:rsid w:val="00AA2BC0"/>
    <w:rsid w:val="00AA508C"/>
    <w:rsid w:val="00AA7955"/>
    <w:rsid w:val="00AB512B"/>
    <w:rsid w:val="00AC486E"/>
    <w:rsid w:val="00AD7E74"/>
    <w:rsid w:val="00AE0A8E"/>
    <w:rsid w:val="00AF3FD2"/>
    <w:rsid w:val="00AF62CA"/>
    <w:rsid w:val="00B14C0D"/>
    <w:rsid w:val="00B176C3"/>
    <w:rsid w:val="00B223C6"/>
    <w:rsid w:val="00B231D4"/>
    <w:rsid w:val="00B502F3"/>
    <w:rsid w:val="00B50654"/>
    <w:rsid w:val="00B644A4"/>
    <w:rsid w:val="00B6747B"/>
    <w:rsid w:val="00B74B4C"/>
    <w:rsid w:val="00BB16AC"/>
    <w:rsid w:val="00BB6ABB"/>
    <w:rsid w:val="00BC413D"/>
    <w:rsid w:val="00BC7E11"/>
    <w:rsid w:val="00BD264D"/>
    <w:rsid w:val="00BD7C06"/>
    <w:rsid w:val="00BE2004"/>
    <w:rsid w:val="00C069A1"/>
    <w:rsid w:val="00C22EDB"/>
    <w:rsid w:val="00C23360"/>
    <w:rsid w:val="00C3022A"/>
    <w:rsid w:val="00C371C1"/>
    <w:rsid w:val="00C40A12"/>
    <w:rsid w:val="00C43459"/>
    <w:rsid w:val="00C44EB4"/>
    <w:rsid w:val="00C5287C"/>
    <w:rsid w:val="00C53061"/>
    <w:rsid w:val="00C538DD"/>
    <w:rsid w:val="00C54AE4"/>
    <w:rsid w:val="00C63698"/>
    <w:rsid w:val="00C66011"/>
    <w:rsid w:val="00C72E6A"/>
    <w:rsid w:val="00C7572D"/>
    <w:rsid w:val="00C7597B"/>
    <w:rsid w:val="00C77156"/>
    <w:rsid w:val="00C861C8"/>
    <w:rsid w:val="00C87125"/>
    <w:rsid w:val="00C91756"/>
    <w:rsid w:val="00C91F01"/>
    <w:rsid w:val="00C921A2"/>
    <w:rsid w:val="00CA052B"/>
    <w:rsid w:val="00CA2187"/>
    <w:rsid w:val="00CA3A16"/>
    <w:rsid w:val="00CB1D6F"/>
    <w:rsid w:val="00CB78C4"/>
    <w:rsid w:val="00CC2E07"/>
    <w:rsid w:val="00CC5C4E"/>
    <w:rsid w:val="00CC6A71"/>
    <w:rsid w:val="00CF04B7"/>
    <w:rsid w:val="00CF232A"/>
    <w:rsid w:val="00CF5221"/>
    <w:rsid w:val="00D0114A"/>
    <w:rsid w:val="00D02341"/>
    <w:rsid w:val="00D064E1"/>
    <w:rsid w:val="00D11027"/>
    <w:rsid w:val="00D11554"/>
    <w:rsid w:val="00D16E5E"/>
    <w:rsid w:val="00D27558"/>
    <w:rsid w:val="00D366EF"/>
    <w:rsid w:val="00D46DD0"/>
    <w:rsid w:val="00D5758B"/>
    <w:rsid w:val="00D61798"/>
    <w:rsid w:val="00D651C8"/>
    <w:rsid w:val="00D6585B"/>
    <w:rsid w:val="00D708EB"/>
    <w:rsid w:val="00D7234D"/>
    <w:rsid w:val="00D815E9"/>
    <w:rsid w:val="00D85A93"/>
    <w:rsid w:val="00D85B51"/>
    <w:rsid w:val="00D863BB"/>
    <w:rsid w:val="00D962CC"/>
    <w:rsid w:val="00DA675E"/>
    <w:rsid w:val="00DA679F"/>
    <w:rsid w:val="00DB7F97"/>
    <w:rsid w:val="00DC069D"/>
    <w:rsid w:val="00DC41C8"/>
    <w:rsid w:val="00DC425F"/>
    <w:rsid w:val="00DD269A"/>
    <w:rsid w:val="00DD315A"/>
    <w:rsid w:val="00DD3580"/>
    <w:rsid w:val="00DD67B2"/>
    <w:rsid w:val="00DD6E1D"/>
    <w:rsid w:val="00DD748C"/>
    <w:rsid w:val="00DE3751"/>
    <w:rsid w:val="00DE7D52"/>
    <w:rsid w:val="00DF0916"/>
    <w:rsid w:val="00DF1454"/>
    <w:rsid w:val="00DF4420"/>
    <w:rsid w:val="00DF52DA"/>
    <w:rsid w:val="00E02B07"/>
    <w:rsid w:val="00E1052D"/>
    <w:rsid w:val="00E27ADE"/>
    <w:rsid w:val="00E27B98"/>
    <w:rsid w:val="00E33D99"/>
    <w:rsid w:val="00E4528F"/>
    <w:rsid w:val="00E45A46"/>
    <w:rsid w:val="00E501FF"/>
    <w:rsid w:val="00E50D91"/>
    <w:rsid w:val="00E5277F"/>
    <w:rsid w:val="00E76900"/>
    <w:rsid w:val="00E91FC9"/>
    <w:rsid w:val="00E946B6"/>
    <w:rsid w:val="00E96E59"/>
    <w:rsid w:val="00E96FF2"/>
    <w:rsid w:val="00EA0912"/>
    <w:rsid w:val="00EA102B"/>
    <w:rsid w:val="00EA1106"/>
    <w:rsid w:val="00EA1CEA"/>
    <w:rsid w:val="00EB546B"/>
    <w:rsid w:val="00EB5BDF"/>
    <w:rsid w:val="00ED19A0"/>
    <w:rsid w:val="00ED66A9"/>
    <w:rsid w:val="00EE114C"/>
    <w:rsid w:val="00EE218F"/>
    <w:rsid w:val="00EE38D0"/>
    <w:rsid w:val="00EE421E"/>
    <w:rsid w:val="00EE59C4"/>
    <w:rsid w:val="00EF4FE6"/>
    <w:rsid w:val="00F00DFB"/>
    <w:rsid w:val="00F0732D"/>
    <w:rsid w:val="00F12569"/>
    <w:rsid w:val="00F2205F"/>
    <w:rsid w:val="00F225B5"/>
    <w:rsid w:val="00F2547D"/>
    <w:rsid w:val="00F25E9F"/>
    <w:rsid w:val="00F3275E"/>
    <w:rsid w:val="00F41D69"/>
    <w:rsid w:val="00F426D3"/>
    <w:rsid w:val="00F47381"/>
    <w:rsid w:val="00F51527"/>
    <w:rsid w:val="00F73179"/>
    <w:rsid w:val="00F81C85"/>
    <w:rsid w:val="00F94C76"/>
    <w:rsid w:val="00FA12EC"/>
    <w:rsid w:val="00FA70EB"/>
    <w:rsid w:val="00FB5F9B"/>
    <w:rsid w:val="00FB6C7F"/>
    <w:rsid w:val="00FC02B3"/>
    <w:rsid w:val="00FC6BAC"/>
    <w:rsid w:val="00FD5A91"/>
    <w:rsid w:val="00FF3B7D"/>
    <w:rsid w:val="00FF5BC8"/>
    <w:rsid w:val="01EF1657"/>
    <w:rsid w:val="023C1BF0"/>
    <w:rsid w:val="03EB15DD"/>
    <w:rsid w:val="04B431B1"/>
    <w:rsid w:val="060D0DBE"/>
    <w:rsid w:val="0A843D59"/>
    <w:rsid w:val="0AD53F20"/>
    <w:rsid w:val="0C42075F"/>
    <w:rsid w:val="0C9537CF"/>
    <w:rsid w:val="0D546F93"/>
    <w:rsid w:val="0EFC1000"/>
    <w:rsid w:val="11D50F5D"/>
    <w:rsid w:val="127C59E8"/>
    <w:rsid w:val="14A71C81"/>
    <w:rsid w:val="15714F96"/>
    <w:rsid w:val="17DB48A0"/>
    <w:rsid w:val="187327BD"/>
    <w:rsid w:val="18DC4FBF"/>
    <w:rsid w:val="1A1E49AB"/>
    <w:rsid w:val="1B6D54B7"/>
    <w:rsid w:val="1BD718D3"/>
    <w:rsid w:val="1C611A5A"/>
    <w:rsid w:val="20D11DC7"/>
    <w:rsid w:val="2107136B"/>
    <w:rsid w:val="21CD6AB5"/>
    <w:rsid w:val="225B71D0"/>
    <w:rsid w:val="226678D9"/>
    <w:rsid w:val="242714D3"/>
    <w:rsid w:val="248C709C"/>
    <w:rsid w:val="28654F9C"/>
    <w:rsid w:val="2AB93EDB"/>
    <w:rsid w:val="2D146264"/>
    <w:rsid w:val="2D3D3232"/>
    <w:rsid w:val="2D991E1E"/>
    <w:rsid w:val="311E304C"/>
    <w:rsid w:val="32B440F3"/>
    <w:rsid w:val="330F1FC1"/>
    <w:rsid w:val="34171B12"/>
    <w:rsid w:val="36265082"/>
    <w:rsid w:val="36433543"/>
    <w:rsid w:val="39F33EB2"/>
    <w:rsid w:val="3CA6751B"/>
    <w:rsid w:val="3CAA7142"/>
    <w:rsid w:val="3D5926B2"/>
    <w:rsid w:val="3E2B03B9"/>
    <w:rsid w:val="40983891"/>
    <w:rsid w:val="45830A4E"/>
    <w:rsid w:val="45C62D7A"/>
    <w:rsid w:val="47240519"/>
    <w:rsid w:val="480A64CC"/>
    <w:rsid w:val="486311F7"/>
    <w:rsid w:val="4A671659"/>
    <w:rsid w:val="4BE80A9E"/>
    <w:rsid w:val="4C102625"/>
    <w:rsid w:val="4D667BAF"/>
    <w:rsid w:val="4DA521E5"/>
    <w:rsid w:val="4DB86B62"/>
    <w:rsid w:val="4EC918D2"/>
    <w:rsid w:val="52AF3FC8"/>
    <w:rsid w:val="53564D9D"/>
    <w:rsid w:val="54EC7875"/>
    <w:rsid w:val="54FD31CF"/>
    <w:rsid w:val="576F2D86"/>
    <w:rsid w:val="591150F1"/>
    <w:rsid w:val="5A6B3694"/>
    <w:rsid w:val="5AAA10A0"/>
    <w:rsid w:val="5C976E58"/>
    <w:rsid w:val="61E23A6F"/>
    <w:rsid w:val="62412F49"/>
    <w:rsid w:val="624553E4"/>
    <w:rsid w:val="6276429E"/>
    <w:rsid w:val="62F4026E"/>
    <w:rsid w:val="65561D37"/>
    <w:rsid w:val="67306069"/>
    <w:rsid w:val="67587B68"/>
    <w:rsid w:val="6ABB6D6B"/>
    <w:rsid w:val="6AF56335"/>
    <w:rsid w:val="6B8A782C"/>
    <w:rsid w:val="6BE172C8"/>
    <w:rsid w:val="6CE41F3D"/>
    <w:rsid w:val="6D595D11"/>
    <w:rsid w:val="6D6F6871"/>
    <w:rsid w:val="6F395B3C"/>
    <w:rsid w:val="6F47575B"/>
    <w:rsid w:val="6F535ACE"/>
    <w:rsid w:val="6FE76DC4"/>
    <w:rsid w:val="705905D8"/>
    <w:rsid w:val="72931D35"/>
    <w:rsid w:val="73247101"/>
    <w:rsid w:val="74225F9B"/>
    <w:rsid w:val="746F7336"/>
    <w:rsid w:val="747852FC"/>
    <w:rsid w:val="77EC41DA"/>
    <w:rsid w:val="785B6B77"/>
    <w:rsid w:val="7A595755"/>
    <w:rsid w:val="7DEF5723"/>
    <w:rsid w:val="7E9C6B8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ocked="1"/>
    <w:lsdException w:qFormat="1" w:unhideWhenUsed="0" w:uiPriority="9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3"/>
    <w:qFormat/>
    <w:locked/>
    <w:uiPriority w:val="99"/>
    <w:pPr>
      <w:keepNext/>
      <w:keepLines/>
      <w:spacing w:line="576" w:lineRule="auto"/>
      <w:outlineLvl w:val="0"/>
    </w:pPr>
    <w:rPr>
      <w:b/>
      <w:kern w:val="44"/>
      <w:sz w:val="44"/>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semiHidden/>
    <w:qFormat/>
    <w:uiPriority w:val="99"/>
    <w:pPr>
      <w:jc w:val="left"/>
    </w:pPr>
  </w:style>
  <w:style w:type="paragraph" w:styleId="4">
    <w:name w:val="Balloon Text"/>
    <w:basedOn w:val="1"/>
    <w:link w:val="15"/>
    <w:semiHidden/>
    <w:qFormat/>
    <w:uiPriority w:val="99"/>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7"/>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locked/>
    <w:uiPriority w:val="99"/>
  </w:style>
  <w:style w:type="paragraph" w:styleId="8">
    <w:name w:val="toc 2"/>
    <w:basedOn w:val="1"/>
    <w:next w:val="1"/>
    <w:qFormat/>
    <w:locked/>
    <w:uiPriority w:val="99"/>
    <w:pPr>
      <w:ind w:left="420" w:leftChars="200"/>
    </w:pPr>
  </w:style>
  <w:style w:type="character" w:styleId="11">
    <w:name w:val="Hyperlink"/>
    <w:basedOn w:val="10"/>
    <w:qFormat/>
    <w:uiPriority w:val="99"/>
    <w:rPr>
      <w:rFonts w:cs="Times New Roman"/>
      <w:color w:val="0000FF"/>
      <w:u w:val="single"/>
    </w:rPr>
  </w:style>
  <w:style w:type="character" w:styleId="12">
    <w:name w:val="annotation reference"/>
    <w:basedOn w:val="10"/>
    <w:semiHidden/>
    <w:qFormat/>
    <w:uiPriority w:val="99"/>
    <w:rPr>
      <w:rFonts w:cs="Times New Roman"/>
      <w:sz w:val="21"/>
      <w:szCs w:val="21"/>
    </w:rPr>
  </w:style>
  <w:style w:type="character" w:customStyle="1" w:styleId="13">
    <w:name w:val="Heading 1 Char"/>
    <w:basedOn w:val="10"/>
    <w:link w:val="2"/>
    <w:qFormat/>
    <w:locked/>
    <w:uiPriority w:val="99"/>
    <w:rPr>
      <w:rFonts w:ascii="Calibri" w:hAnsi="Calibri" w:cs="Times New Roman"/>
      <w:b/>
      <w:bCs/>
      <w:kern w:val="44"/>
      <w:sz w:val="44"/>
      <w:szCs w:val="44"/>
    </w:rPr>
  </w:style>
  <w:style w:type="character" w:customStyle="1" w:styleId="14">
    <w:name w:val="Comment Text Char"/>
    <w:basedOn w:val="10"/>
    <w:link w:val="3"/>
    <w:semiHidden/>
    <w:qFormat/>
    <w:locked/>
    <w:uiPriority w:val="99"/>
    <w:rPr>
      <w:rFonts w:ascii="Calibri" w:hAnsi="Calibri" w:cs="Times New Roman"/>
    </w:rPr>
  </w:style>
  <w:style w:type="character" w:customStyle="1" w:styleId="15">
    <w:name w:val="Balloon Text Char"/>
    <w:basedOn w:val="10"/>
    <w:link w:val="4"/>
    <w:semiHidden/>
    <w:qFormat/>
    <w:locked/>
    <w:uiPriority w:val="99"/>
    <w:rPr>
      <w:rFonts w:ascii="Calibri" w:hAnsi="Calibri" w:cs="Times New Roman"/>
      <w:sz w:val="2"/>
    </w:rPr>
  </w:style>
  <w:style w:type="character" w:customStyle="1" w:styleId="16">
    <w:name w:val="Footer Char"/>
    <w:basedOn w:val="10"/>
    <w:link w:val="5"/>
    <w:qFormat/>
    <w:locked/>
    <w:uiPriority w:val="99"/>
    <w:rPr>
      <w:rFonts w:cs="Times New Roman"/>
      <w:sz w:val="18"/>
      <w:szCs w:val="18"/>
    </w:rPr>
  </w:style>
  <w:style w:type="character" w:customStyle="1" w:styleId="17">
    <w:name w:val="Header Char"/>
    <w:basedOn w:val="10"/>
    <w:link w:val="6"/>
    <w:semiHidden/>
    <w:qFormat/>
    <w:locked/>
    <w:uiPriority w:val="99"/>
    <w:rPr>
      <w:rFonts w:cs="Times New Roman"/>
      <w:sz w:val="18"/>
      <w:szCs w:val="18"/>
    </w:rPr>
  </w:style>
  <w:style w:type="paragraph" w:customStyle="1" w:styleId="18">
    <w:name w:val="WPSOffice手动目录 1"/>
    <w:qFormat/>
    <w:uiPriority w:val="99"/>
    <w:rPr>
      <w:rFonts w:ascii="Times New Roman" w:hAnsi="Times New Roman" w:eastAsia="宋体" w:cs="Times New Roman"/>
      <w:kern w:val="0"/>
      <w:sz w:val="20"/>
      <w:szCs w:val="20"/>
      <w:lang w:val="en-US" w:eastAsia="zh-CN" w:bidi="ar-SA"/>
    </w:rPr>
  </w:style>
  <w:style w:type="paragraph" w:customStyle="1" w:styleId="19">
    <w:name w:val="WPSOffice手动目录 2"/>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20">
    <w:name w:val="WPSOffice手动目录 3"/>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23</Pages>
  <Words>1870</Words>
  <Characters>10664</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2021-04-07T04:42:00Z</dcterms:created>
  <dc:creator>dell</dc:creator>
  <cp:lastModifiedBy>DELL</cp:lastModifiedBy>
  <cp:lastPrinted>2021-04-08T13:06:00Z</cp:lastPrinted>
  <dcterms:modified xsi:type="dcterms:W3CDTF">2021-04-09T01:48:49Z</dcterms:modified>
  <dc:title>2019年秋季厦门市事业单位市、区联合招聘编内工作人员考试报考指南</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9DF3A4C525DF49B899F26B859B232FD2</vt:lpwstr>
  </property>
</Properties>
</file>