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4" w:lineRule="auto"/>
        <w:rPr>
          <w:rFonts w:asciiTheme="majorEastAsia" w:hAnsiTheme="majorEastAsia" w:eastAsiaTheme="majorEastAsia"/>
          <w:sz w:val="30"/>
          <w:szCs w:val="30"/>
        </w:rPr>
      </w:pPr>
      <w:r>
        <w:rPr>
          <w:rFonts w:hint="eastAsia" w:asciiTheme="majorEastAsia" w:hAnsiTheme="majorEastAsia" w:eastAsiaTheme="majorEastAsia"/>
          <w:sz w:val="30"/>
          <w:szCs w:val="30"/>
        </w:rPr>
        <w:t>附件4、</w:t>
      </w:r>
    </w:p>
    <w:p>
      <w:pPr>
        <w:spacing w:line="324" w:lineRule="auto"/>
        <w:jc w:val="center"/>
        <w:rPr>
          <w:rFonts w:asciiTheme="majorEastAsia" w:hAnsiTheme="majorEastAsia" w:eastAsiaTheme="majorEastAsia"/>
          <w:b/>
          <w:sz w:val="30"/>
          <w:szCs w:val="30"/>
        </w:rPr>
      </w:pPr>
      <w:bookmarkStart w:id="0" w:name="_GoBack"/>
      <w:r>
        <w:rPr>
          <w:rFonts w:hint="eastAsia" w:asciiTheme="majorEastAsia" w:hAnsiTheme="majorEastAsia" w:eastAsiaTheme="majorEastAsia"/>
          <w:b/>
          <w:sz w:val="30"/>
          <w:szCs w:val="30"/>
        </w:rPr>
        <w:t>《考试期间疫情防控须知》</w:t>
      </w:r>
    </w:p>
    <w:bookmarkEnd w:id="0"/>
    <w:p>
      <w:pPr>
        <w:spacing w:line="324" w:lineRule="auto"/>
        <w:jc w:val="center"/>
        <w:rPr>
          <w:rFonts w:ascii="仿宋_GB2312" w:eastAsia="仿宋_GB2312"/>
          <w:sz w:val="30"/>
          <w:szCs w:val="30"/>
        </w:rPr>
      </w:pPr>
    </w:p>
    <w:p>
      <w:pPr>
        <w:spacing w:line="324" w:lineRule="auto"/>
        <w:ind w:firstLine="560" w:firstLineChars="200"/>
        <w:rPr>
          <w:rFonts w:ascii="仿宋_GB2312" w:eastAsia="仿宋_GB2312"/>
          <w:sz w:val="28"/>
          <w:szCs w:val="28"/>
        </w:rPr>
      </w:pPr>
      <w:r>
        <w:rPr>
          <w:rFonts w:hint="eastAsia" w:ascii="仿宋_GB2312" w:eastAsia="仿宋_GB2312"/>
          <w:sz w:val="28"/>
          <w:szCs w:val="28"/>
        </w:rPr>
        <w:t>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2.考生应从考试日前14天开始，启动体温监测，按照“一日一测，异常情况随时报”的疫情报告制度，及时将异常情况报告所在单位或社区防疫部门。</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5.考试前未完成转码的少数“红码”、“黄码”考生，考试机构暂不提供网上打印准考证服务。考生与考区人事考试机构联系后，可于考试当天直接前往指定考点，出示县级及以上医院开具的健康证明等材料，如实报告近期接触史、旅行史等情况，并作出书面承诺，经核验后安排在隔离考场进行考试。</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6.考试期间，考生应自备口罩，并按照考点所在地疫情风险等级和防控要求科学佩戴口罩。在考点入场及考后离场等人群聚集环节，建议全程佩戴口罩，但在接受身份识别验证等特殊情况下须摘除口罩。</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8.在考试过程中出现发热、咳嗽等异常症状的考生，应服从考试工作人员安排，立即转移到隔离考场继续考试。</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9.考试过程中，考生因个人原因需要接受健康检测或需要转移到隔离考场而耽误的考试时间不予补充。</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pacing w:line="324" w:lineRule="auto"/>
        <w:ind w:firstLine="560" w:firstLineChars="200"/>
        <w:rPr>
          <w:rFonts w:ascii="仿宋_GB2312" w:eastAsia="仿宋_GB2312"/>
          <w:sz w:val="28"/>
          <w:szCs w:val="28"/>
        </w:rPr>
      </w:pPr>
      <w:r>
        <w:rPr>
          <w:rFonts w:hint="eastAsia" w:ascii="仿宋_GB2312" w:eastAsia="仿宋_GB2312"/>
          <w:sz w:val="28"/>
          <w:szCs w:val="28"/>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sectPr>
      <w:pgSz w:w="11906" w:h="16838"/>
      <w:pgMar w:top="1418" w:right="1418" w:bottom="1418" w:left="1418"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747738"/>
    <w:rsid w:val="37747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2021-01-12T08:36:00Z</dcterms:created>
  <dc:creator>慕斯</dc:creator>
  <cp:lastModifiedBy>慕斯</cp:lastModifiedBy>
  <dcterms:modified xsi:type="dcterms:W3CDTF">2021-01-12T08:36:25Z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