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i w:val="0"/>
          <w:caps w:val="0"/>
          <w:color w:val="555555"/>
          <w:spacing w:val="0"/>
          <w:sz w:val="24"/>
          <w:szCs w:val="24"/>
          <w:bdr w:val="none" w:color="auto" w:sz="0" w:space="0"/>
          <w:shd w:val="clear" w:fill="FFFFFF"/>
        </w:rPr>
        <w:t>福建省卫生健康委员会 福建省人力资源和社会保障厅关于做好2021年护士执业资格考试工作的通知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各设区市卫健委、人社局，平潭综合实验区社会事业局、党群工作部，省直有关单位：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2021年全国护士执业资格考试将于2021年4月举行。根据原卫生部、人力资源社会保障部印发的《护士执业资格考试办法》（部长令第74号）与《全国护士执业资格考试委员会办公室关于2021年护士执业资格考试有关问题的通知》（护考办发〔2020〕2号），为了做好福建考区的考试组织工作，确保考试顺利进行，现将有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一、报名对象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在中等职业学校、高等学校完成国家教育和卫生健康主管部门规定的普通全日制3年以上的护理、助产专业课程学习，并取得相应中专及以上学历证书的，可申请参加护士执业资格考试。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参加护士执业资格考试成绩合格者，可取得护理初级（士）专业技术资格证书。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二、报名程序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一）网上申报。考生可于2021年1月6–21日期间，登录中国卫生人才网（www.21wecan.com），在网上填写个人报名信息（个人相片须按要求上传）。网上报名填报信息中“考区”选择“福建”，考点选择为报名人员所在设区市，省直、中直在榕单位和平潭综合实验区的考生考点选择为“省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按照我省卫生健康行业信息化建设要求，考生在登录中国卫生人才网报名的同时，还须登录“福建省卫生专业技术资格考试预报名系统”（http://220.160.52.169:9010/）填报相关信息，并上传相关材料，包括：身份证、毕业证书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（二）单位审查。考生自行打印《2021年护士执业资格考试报名申请表》及《福建省卫生专业技术资格考试预报名审核确认单》，提交所在单位人事部门或档案存放单位审查并盖章。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（三）现场确认。考生携带上述两表及相关材料（含证明材料）的原件（无需提供复印件）在指定的时间内到指定的地点进行现场确认。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省属现场确认地点设在省卫生健康人才服务与对外交流合作中心（省卫生健康委机关大院3号楼附属楼），现场确认时间为：1月20、21日。各设区市报名点的现场确认地点及时间由各地自行确定，考生可向各设区市卫生健康委咨询详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（四）资格审核。福建考区和各考点要对考生的报名资格进行审核。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考点资格审核工作在2月23日前完成，考区资格复核时间在2月26日前完成。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（五）网上缴费。经过资格审核、符合报考条件的考生登录中国卫生人才网（www.21wecan.com）报名页面，通过“e缴通公共缴费平台”进行网上缴费，缴费时间为2月27日–3月12日。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三、考试安排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一）考试时间。2021年全国护士执业资格考试福建考区的考试定于4月24、25日进行。考试科目为“专业实务”和“实践能力”，均采用人机对话考试。每半天为一个轮次，分为4轮依次进行（附件1），考生将随机分配至其中一个轮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（二）准考证打印时间。自4月7日起，考生可登录中国卫生人才网（www.21wecan.com）打印准考证，截止时间为4月25日。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三）成绩合格证明下载。考试成绩将于考后45个工作日内，在中国卫生人才网公布。考生可凭本人准考证号和有效证件号进行成绩查询，并下载打印成绩单。成绩合格者须在规定时间内通过中国卫生人才网下载打印成绩合格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四、考务组织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各设区市卫健委、人社局,平潭综合实验区社会事业局要严格落实疫情防控主体责任，按照疫情防控常态化下做好考试有关工作的要求，在当地疫情防控指挥部门的统一安排部署下，做好考试报名和组织各阶段的疫情防控工作，确保考生和考务工作人员的生命安全和身体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要按照国家及福建考区的考务工作安排，认真做好考试的报名宣传及考务组织工作。建立健全各考点的考务管理工作规程和制度，加强对考试工作的指导、监督、检查。严格落实考试安全责任制，切实做好保密工作，严防失泄密事件发生；加强沟通协调，严肃考风考纪，积极争取协调当地公安、电力和无线电管理等部门的支持和配合；做好应急预案，有效应对突发事件；坚持以人为本，做好考生服务，确保考试工作顺利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五、注意事项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（一）申请人为在校应届毕业生的，由学校为本校应届毕业生到学校所在地的考点办理集体报名手续；申请人为非应届毕业生的，可以选择到人事档案所在地报名。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二）香港特别行政区、澳门特别行政区和台湾地区居民符合文件规定和《内地与香港关于建立更紧密经贸关系的安排》《内地与澳门关于建立更紧密经贸关系的安排》或者内地有关主管部门规定的，可以申请参加护士执业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附件：2021年度全国护士执业资格考试福建考区考试时间安排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福建省卫生健康委员会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福建省人力资源和社会保障厅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2020年12月31日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i w:val="0"/>
          <w:caps w:val="0"/>
          <w:color w:val="555555"/>
          <w:spacing w:val="0"/>
          <w:sz w:val="24"/>
          <w:szCs w:val="24"/>
        </w:rPr>
      </w:pPr>
      <w:r>
        <w:rPr>
          <w:rFonts w:hint="eastAsia" w:ascii="微软雅黑" w:hAnsi="微软雅黑" w:eastAsia="微软雅黑" w:cs="微软雅黑"/>
          <w:b w:val="0"/>
          <w:i w:val="0"/>
          <w:caps w:val="0"/>
          <w:color w:val="555555"/>
          <w:spacing w:val="0"/>
          <w:sz w:val="24"/>
          <w:szCs w:val="24"/>
          <w:bdr w:val="none" w:color="auto" w:sz="0" w:space="0"/>
          <w:shd w:val="clear" w:fill="FFFFFF"/>
        </w:rPr>
        <w:t>　　2021年度全国护士执业资格考试</w:t>
      </w:r>
      <w:r>
        <w:rPr>
          <w:rFonts w:ascii="微软雅黑" w:hAnsi="微软雅黑" w:eastAsia="微软雅黑" w:cs="微软雅黑"/>
          <w:b w:val="0"/>
          <w:i w:val="0"/>
          <w:caps w:val="0"/>
          <w:color w:val="555555"/>
          <w:spacing w:val="0"/>
          <w:sz w:val="24"/>
          <w:szCs w:val="24"/>
          <w:bdr w:val="none" w:color="auto" w:sz="0" w:space="0"/>
          <w:shd w:val="clear" w:fill="FFFFFF"/>
        </w:rPr>
        <w:t>　福建考区考试时间安排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i w:val="0"/>
          <w:caps w:val="0"/>
          <w:color w:val="555555"/>
          <w:spacing w:val="0"/>
          <w:sz w:val="24"/>
          <w:szCs w:val="24"/>
        </w:rPr>
      </w:pPr>
    </w:p>
    <w:tbl>
      <w:tblPr>
        <w:tblW w:w="5000" w:type="pct"/>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1628"/>
        <w:gridCol w:w="2171"/>
        <w:gridCol w:w="2352"/>
        <w:gridCol w:w="217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w:t>
            </w:r>
            <w:r>
              <w:rPr>
                <w:rFonts w:hint="eastAsia" w:ascii="微软雅黑" w:hAnsi="微软雅黑" w:eastAsia="微软雅黑" w:cs="微软雅黑"/>
                <w:b/>
                <w:i w:val="0"/>
                <w:caps w:val="0"/>
                <w:color w:val="555555"/>
                <w:spacing w:val="0"/>
                <w:sz w:val="24"/>
                <w:szCs w:val="24"/>
                <w:bdr w:val="none" w:color="auto" w:sz="0" w:space="0"/>
              </w:rPr>
              <w:t>考试日期</w:t>
            </w:r>
          </w:p>
        </w:tc>
        <w:tc>
          <w:tcPr>
            <w:tcW w:w="216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w:t>
            </w:r>
            <w:r>
              <w:rPr>
                <w:rFonts w:hint="eastAsia" w:ascii="微软雅黑" w:hAnsi="微软雅黑" w:eastAsia="微软雅黑" w:cs="微软雅黑"/>
                <w:b/>
                <w:i w:val="0"/>
                <w:caps w:val="0"/>
                <w:color w:val="555555"/>
                <w:spacing w:val="0"/>
                <w:sz w:val="24"/>
                <w:szCs w:val="24"/>
                <w:bdr w:val="none" w:color="auto" w:sz="0" w:space="0"/>
              </w:rPr>
              <w:t>轮次</w:t>
            </w:r>
          </w:p>
        </w:tc>
        <w:tc>
          <w:tcPr>
            <w:tcW w:w="23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w:t>
            </w:r>
            <w:r>
              <w:rPr>
                <w:rFonts w:hint="eastAsia" w:ascii="微软雅黑" w:hAnsi="微软雅黑" w:eastAsia="微软雅黑" w:cs="微软雅黑"/>
                <w:b/>
                <w:i w:val="0"/>
                <w:caps w:val="0"/>
                <w:color w:val="555555"/>
                <w:spacing w:val="0"/>
                <w:sz w:val="24"/>
                <w:szCs w:val="24"/>
                <w:bdr w:val="none" w:color="auto" w:sz="0" w:space="0"/>
              </w:rPr>
              <w:t>考试科目</w:t>
            </w:r>
          </w:p>
        </w:tc>
        <w:tc>
          <w:tcPr>
            <w:tcW w:w="216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w:t>
            </w:r>
            <w:r>
              <w:rPr>
                <w:rFonts w:hint="eastAsia" w:ascii="微软雅黑" w:hAnsi="微软雅黑" w:eastAsia="微软雅黑" w:cs="微软雅黑"/>
                <w:b/>
                <w:i w:val="0"/>
                <w:caps w:val="0"/>
                <w:color w:val="555555"/>
                <w:spacing w:val="0"/>
                <w:sz w:val="24"/>
                <w:szCs w:val="24"/>
                <w:bdr w:val="none" w:color="auto" w:sz="0" w:space="0"/>
              </w:rPr>
              <w:t>时间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162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4月24日</w:t>
            </w:r>
          </w:p>
        </w:tc>
        <w:tc>
          <w:tcPr>
            <w:tcW w:w="216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第一轮</w:t>
            </w:r>
          </w:p>
        </w:tc>
        <w:tc>
          <w:tcPr>
            <w:tcW w:w="23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专业实务</w:t>
            </w:r>
          </w:p>
        </w:tc>
        <w:tc>
          <w:tcPr>
            <w:tcW w:w="216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08:30-10:10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162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left"/>
              <w:rPr>
                <w:rFonts w:hint="eastAsia" w:ascii="微软雅黑" w:hAnsi="微软雅黑" w:eastAsia="微软雅黑" w:cs="微软雅黑"/>
                <w:b w:val="0"/>
                <w:i w:val="0"/>
                <w:caps w:val="0"/>
                <w:color w:val="555555"/>
                <w:spacing w:val="0"/>
                <w:sz w:val="24"/>
                <w:szCs w:val="24"/>
              </w:rPr>
            </w:pPr>
          </w:p>
        </w:tc>
        <w:tc>
          <w:tcPr>
            <w:tcW w:w="21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left"/>
              <w:rPr>
                <w:rFonts w:hint="eastAsia" w:ascii="微软雅黑" w:hAnsi="微软雅黑" w:eastAsia="微软雅黑" w:cs="微软雅黑"/>
                <w:b w:val="0"/>
                <w:i w:val="0"/>
                <w:caps w:val="0"/>
                <w:color w:val="555555"/>
                <w:spacing w:val="0"/>
                <w:sz w:val="24"/>
                <w:szCs w:val="24"/>
              </w:rPr>
            </w:pPr>
          </w:p>
        </w:tc>
        <w:tc>
          <w:tcPr>
            <w:tcW w:w="23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实践能力</w:t>
            </w:r>
          </w:p>
        </w:tc>
        <w:tc>
          <w:tcPr>
            <w:tcW w:w="216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10:55-12:35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162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left"/>
              <w:rPr>
                <w:rFonts w:hint="eastAsia" w:ascii="微软雅黑" w:hAnsi="微软雅黑" w:eastAsia="微软雅黑" w:cs="微软雅黑"/>
                <w:b w:val="0"/>
                <w:i w:val="0"/>
                <w:caps w:val="0"/>
                <w:color w:val="555555"/>
                <w:spacing w:val="0"/>
                <w:sz w:val="24"/>
                <w:szCs w:val="24"/>
              </w:rPr>
            </w:pPr>
          </w:p>
        </w:tc>
        <w:tc>
          <w:tcPr>
            <w:tcW w:w="216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第二轮</w:t>
            </w:r>
          </w:p>
        </w:tc>
        <w:tc>
          <w:tcPr>
            <w:tcW w:w="23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专业实务</w:t>
            </w:r>
          </w:p>
        </w:tc>
        <w:tc>
          <w:tcPr>
            <w:tcW w:w="216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14:00-15:40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162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left"/>
              <w:rPr>
                <w:rFonts w:hint="eastAsia" w:ascii="微软雅黑" w:hAnsi="微软雅黑" w:eastAsia="微软雅黑" w:cs="微软雅黑"/>
                <w:b w:val="0"/>
                <w:i w:val="0"/>
                <w:caps w:val="0"/>
                <w:color w:val="555555"/>
                <w:spacing w:val="0"/>
                <w:sz w:val="24"/>
                <w:szCs w:val="24"/>
              </w:rPr>
            </w:pPr>
          </w:p>
        </w:tc>
        <w:tc>
          <w:tcPr>
            <w:tcW w:w="21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left"/>
              <w:rPr>
                <w:rFonts w:hint="eastAsia" w:ascii="微软雅黑" w:hAnsi="微软雅黑" w:eastAsia="微软雅黑" w:cs="微软雅黑"/>
                <w:b w:val="0"/>
                <w:i w:val="0"/>
                <w:caps w:val="0"/>
                <w:color w:val="555555"/>
                <w:spacing w:val="0"/>
                <w:sz w:val="24"/>
                <w:szCs w:val="24"/>
              </w:rPr>
            </w:pPr>
          </w:p>
        </w:tc>
        <w:tc>
          <w:tcPr>
            <w:tcW w:w="23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实践能力</w:t>
            </w:r>
          </w:p>
        </w:tc>
        <w:tc>
          <w:tcPr>
            <w:tcW w:w="216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16:25-18:05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162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4月25日</w:t>
            </w:r>
          </w:p>
        </w:tc>
        <w:tc>
          <w:tcPr>
            <w:tcW w:w="216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第三轮</w:t>
            </w:r>
          </w:p>
        </w:tc>
        <w:tc>
          <w:tcPr>
            <w:tcW w:w="23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专业实务</w:t>
            </w:r>
          </w:p>
        </w:tc>
        <w:tc>
          <w:tcPr>
            <w:tcW w:w="216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08:30-10:10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162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left"/>
              <w:rPr>
                <w:rFonts w:hint="eastAsia" w:ascii="微软雅黑" w:hAnsi="微软雅黑" w:eastAsia="微软雅黑" w:cs="微软雅黑"/>
                <w:b w:val="0"/>
                <w:i w:val="0"/>
                <w:caps w:val="0"/>
                <w:color w:val="555555"/>
                <w:spacing w:val="0"/>
                <w:sz w:val="24"/>
                <w:szCs w:val="24"/>
              </w:rPr>
            </w:pPr>
          </w:p>
        </w:tc>
        <w:tc>
          <w:tcPr>
            <w:tcW w:w="21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left"/>
              <w:rPr>
                <w:rFonts w:hint="eastAsia" w:ascii="微软雅黑" w:hAnsi="微软雅黑" w:eastAsia="微软雅黑" w:cs="微软雅黑"/>
                <w:b w:val="0"/>
                <w:i w:val="0"/>
                <w:caps w:val="0"/>
                <w:color w:val="555555"/>
                <w:spacing w:val="0"/>
                <w:sz w:val="24"/>
                <w:szCs w:val="24"/>
              </w:rPr>
            </w:pPr>
          </w:p>
        </w:tc>
        <w:tc>
          <w:tcPr>
            <w:tcW w:w="23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实践能力</w:t>
            </w:r>
          </w:p>
        </w:tc>
        <w:tc>
          <w:tcPr>
            <w:tcW w:w="216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10:55-12:35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162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left"/>
              <w:rPr>
                <w:rFonts w:hint="eastAsia" w:ascii="微软雅黑" w:hAnsi="微软雅黑" w:eastAsia="微软雅黑" w:cs="微软雅黑"/>
                <w:b w:val="0"/>
                <w:i w:val="0"/>
                <w:caps w:val="0"/>
                <w:color w:val="555555"/>
                <w:spacing w:val="0"/>
                <w:sz w:val="24"/>
                <w:szCs w:val="24"/>
              </w:rPr>
            </w:pPr>
          </w:p>
        </w:tc>
        <w:tc>
          <w:tcPr>
            <w:tcW w:w="216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第四轮</w:t>
            </w:r>
          </w:p>
        </w:tc>
        <w:tc>
          <w:tcPr>
            <w:tcW w:w="23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专业实务</w:t>
            </w:r>
          </w:p>
        </w:tc>
        <w:tc>
          <w:tcPr>
            <w:tcW w:w="216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14:00-15:40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162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left"/>
              <w:rPr>
                <w:rFonts w:hint="eastAsia" w:ascii="微软雅黑" w:hAnsi="微软雅黑" w:eastAsia="微软雅黑" w:cs="微软雅黑"/>
                <w:b w:val="0"/>
                <w:i w:val="0"/>
                <w:caps w:val="0"/>
                <w:color w:val="555555"/>
                <w:spacing w:val="0"/>
                <w:sz w:val="24"/>
                <w:szCs w:val="24"/>
              </w:rPr>
            </w:pPr>
          </w:p>
        </w:tc>
        <w:tc>
          <w:tcPr>
            <w:tcW w:w="21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left"/>
              <w:rPr>
                <w:rFonts w:hint="eastAsia" w:ascii="微软雅黑" w:hAnsi="微软雅黑" w:eastAsia="微软雅黑" w:cs="微软雅黑"/>
                <w:b w:val="0"/>
                <w:i w:val="0"/>
                <w:caps w:val="0"/>
                <w:color w:val="555555"/>
                <w:spacing w:val="0"/>
                <w:sz w:val="24"/>
                <w:szCs w:val="24"/>
              </w:rPr>
            </w:pPr>
          </w:p>
        </w:tc>
        <w:tc>
          <w:tcPr>
            <w:tcW w:w="23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实践能力</w:t>
            </w:r>
          </w:p>
        </w:tc>
        <w:tc>
          <w:tcPr>
            <w:tcW w:w="216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i w:val="0"/>
              </w:rPr>
            </w:pPr>
            <w:r>
              <w:rPr>
                <w:rFonts w:hint="eastAsia" w:ascii="微软雅黑" w:hAnsi="微软雅黑" w:eastAsia="微软雅黑" w:cs="微软雅黑"/>
                <w:b w:val="0"/>
                <w:i w:val="0"/>
                <w:caps w:val="0"/>
                <w:color w:val="555555"/>
                <w:spacing w:val="0"/>
                <w:sz w:val="24"/>
                <w:szCs w:val="24"/>
                <w:bdr w:val="none" w:color="auto" w:sz="0" w:space="0"/>
              </w:rPr>
              <w:t>　　16:25-18:05</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237C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2021-01-11T01:43:37Z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