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21</w:t>
      </w:r>
      <w:r>
        <w:rPr>
          <w:rFonts w:hint="eastAsia" w:ascii="宋体" w:hAnsi="宋体"/>
          <w:b/>
          <w:sz w:val="24"/>
          <w:szCs w:val="24"/>
        </w:rPr>
        <w:t>年临床执业医师《呼吸系统》考试大纲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</w:t>
      </w:r>
      <w:r>
        <w:rPr>
          <w:rFonts w:hint="eastAsia" w:ascii="宋体" w:hAnsi="宋体"/>
          <w:sz w:val="24"/>
          <w:szCs w:val="24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年临床执业医师《呼吸系统》考试大纲已经顺利公布，请广大临床执业医师考生参考：</w:t>
      </w:r>
    </w:p>
    <w:tbl>
      <w:tblPr>
        <w:tblStyle w:val="6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一、呼吸系统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（一）慢性阻塞性肺疾病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（4）临床表现、病程分期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（6）诊断与严重程度分级、鉴别诊断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（8）治疗与预防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（二）肺动脉高压与慢性肺源性心脏病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1.肺动脉高压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2.慢性肺源性心脏病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（三）支气管哮喘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（四）支气管扩张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1.肺炎链球菌肺炎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2.金黄色葡萄球菌肺炎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3.肺炎克雷伯杆菌肺炎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4.肺炎支原体肺炎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5.病毒性肺炎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（六）肺脓肿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（七）肺结核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（1）病因与发病机制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（九）肺血栓栓塞症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2.慢性呼吸衰竭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（十一）急性呼吸窘迫综合征与多器官功能障碍综合征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1.急性肺损伤与急性呼吸窘迫综合征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2.呼吸支持技术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（1）人工气道的建立与管理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（2）机械通气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3.系统性炎症反应综合征与多器官功能障碍综合征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（十二）胸腔积液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1.结核性胸膜炎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2.恶性胸腔积液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3.血胸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4.脓胸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（十三）气胸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（2）病因、分类和发病机制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（十四）肋骨骨折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（十五）纵膈肿瘤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（1）纵膈分区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885651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