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Times New Roman"/>
          <w:b/>
          <w:bCs/>
          <w:color w:val="auto"/>
          <w:kern w:val="2"/>
          <w:sz w:val="24"/>
          <w:szCs w:val="24"/>
        </w:rPr>
      </w:pPr>
      <w:r>
        <w:rPr>
          <w:rFonts w:hint="eastAsia" w:ascii="宋体" w:hAnsi="宋体" w:eastAsia="宋体" w:cs="Times New Roman"/>
          <w:b/>
          <w:bCs/>
          <w:color w:val="auto"/>
          <w:kern w:val="2"/>
          <w:sz w:val="24"/>
          <w:szCs w:val="24"/>
          <w:lang w:val="en-US" w:eastAsia="zh-CN" w:bidi="ar"/>
        </w:rPr>
        <w:t>2021年临床执业医师卫生法规变动</w:t>
      </w:r>
      <w:bookmarkStart w:id="0" w:name="_GoBack"/>
      <w:bookmarkEnd w:id="0"/>
    </w:p>
    <w:tbl>
      <w:tblPr>
        <w:tblStyle w:val="6"/>
        <w:tblW w:w="8996" w:type="dxa"/>
        <w:tblInd w:w="0" w:type="dxa"/>
        <w:shd w:val="clear"/>
        <w:tblLayout w:type="fixed"/>
        <w:tblCellMar>
          <w:top w:w="0" w:type="dxa"/>
          <w:left w:w="108" w:type="dxa"/>
          <w:bottom w:w="0" w:type="dxa"/>
          <w:right w:w="108" w:type="dxa"/>
        </w:tblCellMar>
      </w:tblPr>
      <w:tblGrid>
        <w:gridCol w:w="1446"/>
        <w:gridCol w:w="25"/>
        <w:gridCol w:w="146"/>
        <w:gridCol w:w="3162"/>
        <w:gridCol w:w="3987"/>
        <w:gridCol w:w="228"/>
      </w:tblGrid>
      <w:tr>
        <w:tblPrEx>
          <w:shd w:val="clear"/>
          <w:tblCellMar>
            <w:top w:w="0" w:type="dxa"/>
            <w:left w:w="108" w:type="dxa"/>
            <w:bottom w:w="0" w:type="dxa"/>
            <w:right w:w="108" w:type="dxa"/>
          </w:tblCellMar>
        </w:tblPrEx>
        <w:trPr>
          <w:trHeight w:val="547" w:hRule="atLeast"/>
        </w:trPr>
        <w:tc>
          <w:tcPr>
            <w:tcW w:w="1491" w:type="dxa"/>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页码（2021）</w:t>
            </w:r>
          </w:p>
        </w:tc>
        <w:tc>
          <w:tcPr>
            <w:tcW w:w="3351" w:type="dxa"/>
            <w:gridSpan w:val="3"/>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2020年</w:t>
            </w: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2021年</w:t>
            </w:r>
          </w:p>
        </w:tc>
      </w:tr>
      <w:tr>
        <w:tblPrEx>
          <w:shd w:val="clear"/>
          <w:tblCellMar>
            <w:top w:w="0" w:type="dxa"/>
            <w:left w:w="108" w:type="dxa"/>
            <w:bottom w:w="0" w:type="dxa"/>
            <w:right w:w="108" w:type="dxa"/>
          </w:tblCellMar>
        </w:tblPrEx>
        <w:trPr>
          <w:trHeight w:val="858" w:hRule="atLeast"/>
        </w:trPr>
        <w:tc>
          <w:tcPr>
            <w:tcW w:w="1491" w:type="dxa"/>
            <w:tcBorders>
              <w:top w:val="nil"/>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P180</w:t>
            </w:r>
          </w:p>
        </w:tc>
        <w:tc>
          <w:tcPr>
            <w:tcW w:w="3351" w:type="dxa"/>
            <w:gridSpan w:val="3"/>
            <w:tcBorders>
              <w:top w:val="nil"/>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nil"/>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卫生行政法规删除“疫苗流通与预防接种管理条例”和“中医药条例”</w:t>
            </w:r>
          </w:p>
        </w:tc>
      </w:tr>
      <w:tr>
        <w:tblPrEx>
          <w:shd w:val="clear"/>
          <w:tblCellMar>
            <w:top w:w="0" w:type="dxa"/>
            <w:left w:w="108" w:type="dxa"/>
            <w:bottom w:w="0" w:type="dxa"/>
            <w:right w:w="108" w:type="dxa"/>
          </w:tblCellMar>
        </w:tblPrEx>
        <w:trPr>
          <w:trHeight w:val="775" w:hRule="atLeast"/>
        </w:trPr>
        <w:tc>
          <w:tcPr>
            <w:tcW w:w="1517" w:type="dxa"/>
            <w:gridSpan w:val="2"/>
            <w:tcBorders>
              <w:top w:val="nil"/>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color w:val="FF0000"/>
                <w:kern w:val="2"/>
                <w:sz w:val="24"/>
                <w:szCs w:val="24"/>
                <w:bdr w:val="none" w:color="auto" w:sz="0" w:space="0"/>
              </w:rPr>
            </w:pPr>
            <w:r>
              <w:rPr>
                <w:rFonts w:hint="eastAsia" w:ascii="宋体" w:hAnsi="宋体" w:eastAsia="宋体" w:cs="Times New Roman"/>
                <w:color w:val="FF0000"/>
                <w:kern w:val="2"/>
                <w:sz w:val="24"/>
                <w:szCs w:val="24"/>
                <w:bdr w:val="none" w:color="auto" w:sz="0" w:space="0"/>
                <w:lang w:val="en-US" w:eastAsia="zh-CN" w:bidi="ar"/>
              </w:rPr>
              <w:t>P183~185</w:t>
            </w:r>
          </w:p>
        </w:tc>
        <w:tc>
          <w:tcPr>
            <w:tcW w:w="3325" w:type="dxa"/>
            <w:gridSpan w:val="2"/>
            <w:tcBorders>
              <w:top w:val="nil"/>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nil"/>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新增章节“</w:t>
            </w:r>
            <w:r>
              <w:rPr>
                <w:rFonts w:hint="eastAsia" w:ascii="宋体" w:hAnsi="宋体" w:eastAsia="宋体" w:cs="Times New Roman"/>
                <w:color w:val="FF0000"/>
                <w:kern w:val="2"/>
                <w:sz w:val="24"/>
                <w:szCs w:val="24"/>
                <w:bdr w:val="none" w:color="auto" w:sz="0" w:space="0"/>
                <w:lang w:val="en-US" w:eastAsia="zh-CN" w:bidi="ar"/>
              </w:rPr>
              <w:t>第二章  基本医疗卫生与健康促进法”</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P187</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新增“</w:t>
            </w:r>
            <w:r>
              <w:rPr>
                <w:rFonts w:hint="eastAsia" w:ascii="宋体" w:hAnsi="宋体" w:eastAsia="宋体" w:cs="Times New Roman"/>
                <w:color w:val="FF0000"/>
                <w:kern w:val="2"/>
                <w:sz w:val="24"/>
                <w:szCs w:val="24"/>
                <w:bdr w:val="none" w:color="auto" w:sz="0" w:space="0"/>
                <w:lang w:val="en-US" w:eastAsia="zh-CN" w:bidi="ar"/>
              </w:rPr>
              <w:t>2020年……控制措施</w:t>
            </w:r>
            <w:r>
              <w:rPr>
                <w:rFonts w:hint="eastAsia" w:ascii="宋体" w:hAnsi="宋体" w:eastAsia="宋体" w:cs="Times New Roman"/>
                <w:kern w:val="2"/>
                <w:sz w:val="24"/>
                <w:szCs w:val="24"/>
                <w:bdr w:val="none" w:color="auto" w:sz="0" w:space="0"/>
                <w:lang w:val="en-US" w:eastAsia="zh-CN" w:bidi="ar"/>
              </w:rPr>
              <w:t>”</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我国共有39种法定传染病，其中甲类2种，乙类26种</w:t>
            </w: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改为 我国共有</w:t>
            </w:r>
            <w:r>
              <w:rPr>
                <w:rFonts w:hint="eastAsia" w:ascii="宋体" w:hAnsi="宋体" w:eastAsia="宋体" w:cs="Times New Roman"/>
                <w:color w:val="FF0000"/>
                <w:kern w:val="2"/>
                <w:sz w:val="24"/>
                <w:szCs w:val="24"/>
                <w:bdr w:val="none" w:color="auto" w:sz="0" w:space="0"/>
                <w:lang w:val="en-US" w:eastAsia="zh-CN" w:bidi="ar"/>
              </w:rPr>
              <w:t>40种</w:t>
            </w:r>
            <w:r>
              <w:rPr>
                <w:rFonts w:hint="eastAsia" w:ascii="宋体" w:hAnsi="宋体" w:eastAsia="宋体" w:cs="Times New Roman"/>
                <w:kern w:val="2"/>
                <w:sz w:val="24"/>
                <w:szCs w:val="24"/>
                <w:bdr w:val="none" w:color="auto" w:sz="0" w:space="0"/>
                <w:lang w:val="en-US" w:eastAsia="zh-CN" w:bidi="ar"/>
              </w:rPr>
              <w:t>法定传染病，其中甲类2种，乙类</w:t>
            </w:r>
            <w:r>
              <w:rPr>
                <w:rFonts w:hint="eastAsia" w:ascii="宋体" w:hAnsi="宋体" w:eastAsia="宋体" w:cs="Times New Roman"/>
                <w:color w:val="FF0000"/>
                <w:kern w:val="2"/>
                <w:sz w:val="24"/>
                <w:szCs w:val="24"/>
                <w:bdr w:val="none" w:color="auto" w:sz="0" w:space="0"/>
                <w:lang w:val="en-US" w:eastAsia="zh-CN" w:bidi="ar"/>
              </w:rPr>
              <w:t>27种</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P193~194</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color w:val="FF0000"/>
                <w:kern w:val="2"/>
                <w:sz w:val="24"/>
                <w:szCs w:val="24"/>
                <w:bdr w:val="none" w:color="auto" w:sz="0" w:space="0"/>
              </w:rPr>
            </w:pPr>
            <w:r>
              <w:rPr>
                <w:rFonts w:hint="eastAsia" w:ascii="宋体" w:hAnsi="宋体" w:eastAsia="宋体" w:cs="Times New Roman"/>
                <w:color w:val="FF0000"/>
                <w:kern w:val="2"/>
                <w:sz w:val="24"/>
                <w:szCs w:val="24"/>
                <w:bdr w:val="none" w:color="auto" w:sz="0" w:space="0"/>
                <w:lang w:val="en-US" w:eastAsia="zh-CN" w:bidi="ar"/>
              </w:rPr>
              <w:t>新增 三、监督检查</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color w:val="FF0000"/>
                <w:kern w:val="2"/>
                <w:sz w:val="24"/>
                <w:szCs w:val="24"/>
                <w:bdr w:val="none" w:color="auto" w:sz="0" w:space="0"/>
              </w:rPr>
            </w:pP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P194</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color w:val="000000"/>
                <w:kern w:val="2"/>
                <w:sz w:val="24"/>
                <w:szCs w:val="24"/>
                <w:bdr w:val="none" w:color="auto" w:sz="0" w:space="0"/>
              </w:rPr>
            </w:pPr>
            <w:r>
              <w:rPr>
                <w:rFonts w:hint="eastAsia" w:ascii="宋体" w:hAnsi="宋体" w:eastAsia="宋体" w:cs="Times New Roman"/>
                <w:color w:val="FF0000"/>
                <w:kern w:val="2"/>
                <w:sz w:val="24"/>
                <w:szCs w:val="24"/>
                <w:bdr w:val="none" w:color="auto" w:sz="0" w:space="0"/>
                <w:lang w:val="en-US" w:eastAsia="zh-CN" w:bidi="ar"/>
              </w:rPr>
              <w:t>改动 四、法律责任 新增“（五）职业卫生……处分。”</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新增 第四节概述“</w:t>
            </w:r>
            <w:r>
              <w:rPr>
                <w:rFonts w:hint="eastAsia" w:ascii="宋体" w:hAnsi="宋体" w:eastAsia="宋体" w:cs="Times New Roman"/>
                <w:color w:val="FF0000"/>
                <w:kern w:val="2"/>
                <w:sz w:val="24"/>
                <w:szCs w:val="24"/>
                <w:bdr w:val="none" w:color="auto" w:sz="0" w:space="0"/>
                <w:lang w:val="en-US" w:eastAsia="zh-CN" w:bidi="ar"/>
              </w:rPr>
              <w:t>2018年……修正。</w:t>
            </w:r>
            <w:r>
              <w:rPr>
                <w:rFonts w:hint="eastAsia" w:ascii="宋体" w:hAnsi="宋体" w:eastAsia="宋体" w:cs="Times New Roman"/>
                <w:kern w:val="2"/>
                <w:sz w:val="24"/>
                <w:szCs w:val="24"/>
                <w:bdr w:val="none" w:color="auto" w:sz="0" w:space="0"/>
                <w:lang w:val="en-US" w:eastAsia="zh-CN" w:bidi="ar"/>
              </w:rPr>
              <w:t>”</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P197</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第五节  疫苗管理法</w:t>
            </w: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删除两段“为了加强对疫苗流通和预防接种的管理，……修订”、“《疫苗流通……费用”</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P197</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《疫苗流通和预防接种管理条例》有总则、疫苗流通、疫苗接种、保障措施、预防接种异常反应的处理、监督管理、法律责任、附则8章，共76条。</w:t>
            </w: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《疫苗管理法》有总则、</w:t>
            </w:r>
            <w:r>
              <w:rPr>
                <w:rFonts w:hint="eastAsia" w:ascii="宋体" w:hAnsi="宋体" w:eastAsia="宋体" w:cs="Times New Roman"/>
                <w:color w:val="FF0000"/>
                <w:kern w:val="2"/>
                <w:sz w:val="24"/>
                <w:szCs w:val="24"/>
                <w:bdr w:val="none" w:color="auto" w:sz="0" w:space="0"/>
                <w:lang w:val="en-US" w:eastAsia="zh-CN" w:bidi="ar"/>
              </w:rPr>
              <w:t>疫苗研制和注册、疫苗生产和批签发、</w:t>
            </w:r>
            <w:r>
              <w:rPr>
                <w:rFonts w:hint="eastAsia" w:ascii="宋体" w:hAnsi="宋体" w:eastAsia="宋体" w:cs="Times New Roman"/>
                <w:kern w:val="2"/>
                <w:sz w:val="24"/>
                <w:szCs w:val="24"/>
                <w:bdr w:val="none" w:color="auto" w:sz="0" w:space="0"/>
                <w:lang w:val="en-US" w:eastAsia="zh-CN" w:bidi="ar"/>
              </w:rPr>
              <w:t>疫苗流通、预防接种</w:t>
            </w:r>
            <w:r>
              <w:rPr>
                <w:rFonts w:hint="eastAsia" w:ascii="宋体" w:hAnsi="宋体" w:eastAsia="宋体" w:cs="Times New Roman"/>
                <w:color w:val="FF0000"/>
                <w:kern w:val="2"/>
                <w:sz w:val="24"/>
                <w:szCs w:val="24"/>
                <w:bdr w:val="none" w:color="auto" w:sz="0" w:space="0"/>
                <w:lang w:val="en-US" w:eastAsia="zh-CN" w:bidi="ar"/>
              </w:rPr>
              <w:t>异常反应监测和</w:t>
            </w:r>
            <w:r>
              <w:rPr>
                <w:rFonts w:hint="eastAsia" w:ascii="宋体" w:hAnsi="宋体" w:eastAsia="宋体" w:cs="Times New Roman"/>
                <w:kern w:val="2"/>
                <w:sz w:val="24"/>
                <w:szCs w:val="24"/>
                <w:bdr w:val="none" w:color="auto" w:sz="0" w:space="0"/>
                <w:lang w:val="en-US" w:eastAsia="zh-CN" w:bidi="ar"/>
              </w:rPr>
              <w:t>处理、</w:t>
            </w:r>
            <w:r>
              <w:rPr>
                <w:rFonts w:hint="eastAsia" w:ascii="宋体" w:hAnsi="宋体" w:eastAsia="宋体" w:cs="Times New Roman"/>
                <w:color w:val="FF0000"/>
                <w:kern w:val="2"/>
                <w:sz w:val="24"/>
                <w:szCs w:val="24"/>
                <w:bdr w:val="none" w:color="auto" w:sz="0" w:space="0"/>
                <w:lang w:val="en-US" w:eastAsia="zh-CN" w:bidi="ar"/>
              </w:rPr>
              <w:t>疫苗上市后管理、保障措施、</w:t>
            </w:r>
            <w:r>
              <w:rPr>
                <w:rFonts w:hint="eastAsia" w:ascii="宋体" w:hAnsi="宋体" w:eastAsia="宋体" w:cs="Times New Roman"/>
                <w:kern w:val="2"/>
                <w:sz w:val="24"/>
                <w:szCs w:val="24"/>
                <w:bdr w:val="none" w:color="auto" w:sz="0" w:space="0"/>
                <w:lang w:val="en-US" w:eastAsia="zh-CN" w:bidi="ar"/>
              </w:rPr>
              <w:t>监督管理、法律责任、附则</w:t>
            </w:r>
            <w:r>
              <w:rPr>
                <w:rFonts w:hint="eastAsia" w:ascii="宋体" w:hAnsi="宋体" w:eastAsia="宋体" w:cs="Times New Roman"/>
                <w:color w:val="FF0000"/>
                <w:kern w:val="2"/>
                <w:sz w:val="24"/>
                <w:szCs w:val="24"/>
                <w:bdr w:val="none" w:color="auto" w:sz="0" w:space="0"/>
                <w:lang w:val="en-US" w:eastAsia="zh-CN" w:bidi="ar"/>
              </w:rPr>
              <w:t>11章</w:t>
            </w:r>
            <w:r>
              <w:rPr>
                <w:rFonts w:hint="eastAsia" w:ascii="宋体" w:hAnsi="宋体" w:eastAsia="宋体" w:cs="Times New Roman"/>
                <w:kern w:val="2"/>
                <w:sz w:val="24"/>
                <w:szCs w:val="24"/>
                <w:bdr w:val="none" w:color="auto" w:sz="0" w:space="0"/>
                <w:lang w:val="en-US" w:eastAsia="zh-CN" w:bidi="ar"/>
              </w:rPr>
              <w:t>，共</w:t>
            </w:r>
            <w:r>
              <w:rPr>
                <w:rFonts w:hint="eastAsia" w:ascii="宋体" w:hAnsi="宋体" w:eastAsia="宋体" w:cs="Times New Roman"/>
                <w:color w:val="FF0000"/>
                <w:kern w:val="2"/>
                <w:sz w:val="24"/>
                <w:szCs w:val="24"/>
                <w:bdr w:val="none" w:color="auto" w:sz="0" w:space="0"/>
                <w:lang w:val="en-US" w:eastAsia="zh-CN" w:bidi="ar"/>
              </w:rPr>
              <w:t>100条</w:t>
            </w:r>
            <w:r>
              <w:rPr>
                <w:rFonts w:hint="eastAsia" w:ascii="宋体" w:hAnsi="宋体" w:eastAsia="宋体" w:cs="Times New Roman"/>
                <w:kern w:val="2"/>
                <w:sz w:val="24"/>
                <w:szCs w:val="24"/>
                <w:bdr w:val="none" w:color="auto" w:sz="0" w:space="0"/>
                <w:lang w:val="en-US" w:eastAsia="zh-CN" w:bidi="ar"/>
              </w:rPr>
              <w:t>。</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P197~198</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新增“</w:t>
            </w:r>
            <w:r>
              <w:rPr>
                <w:rFonts w:hint="eastAsia" w:ascii="宋体" w:hAnsi="宋体" w:eastAsia="宋体" w:cs="Times New Roman"/>
                <w:color w:val="FF0000"/>
                <w:kern w:val="2"/>
                <w:sz w:val="24"/>
                <w:szCs w:val="24"/>
                <w:bdr w:val="none" w:color="auto" w:sz="0" w:space="0"/>
                <w:lang w:val="en-US" w:eastAsia="zh-CN" w:bidi="ar"/>
              </w:rPr>
              <w:t>（一）疫苗的分类（二）免疫规划制度（三）疫苗全程电子追溯制度</w:t>
            </w:r>
            <w:r>
              <w:rPr>
                <w:rFonts w:hint="eastAsia" w:ascii="宋体" w:hAnsi="宋体" w:eastAsia="宋体" w:cs="Times New Roman"/>
                <w:kern w:val="2"/>
                <w:sz w:val="24"/>
                <w:szCs w:val="24"/>
                <w:bdr w:val="none" w:color="auto" w:sz="0" w:space="0"/>
                <w:lang w:val="en-US" w:eastAsia="zh-CN" w:bidi="ar"/>
              </w:rPr>
              <w:t>”</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P198</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大改“</w:t>
            </w:r>
            <w:r>
              <w:rPr>
                <w:rFonts w:hint="eastAsia" w:ascii="宋体" w:hAnsi="宋体" w:eastAsia="宋体" w:cs="Times New Roman"/>
                <w:color w:val="FF0000"/>
                <w:kern w:val="2"/>
                <w:sz w:val="24"/>
                <w:szCs w:val="24"/>
                <w:bdr w:val="none" w:color="auto" w:sz="0" w:space="0"/>
                <w:lang w:val="en-US" w:eastAsia="zh-CN" w:bidi="ar"/>
              </w:rPr>
              <w:t>二、疫苗流通、三、疫苗接种”</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P200</w:t>
            </w: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四、预防接种异常反应的处理</w:t>
            </w: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改为“</w:t>
            </w:r>
            <w:r>
              <w:rPr>
                <w:rFonts w:hint="eastAsia" w:ascii="宋体" w:hAnsi="宋体" w:eastAsia="宋体" w:cs="Times New Roman"/>
                <w:color w:val="FF0000"/>
                <w:kern w:val="2"/>
                <w:sz w:val="24"/>
                <w:szCs w:val="24"/>
                <w:bdr w:val="none" w:color="auto" w:sz="0" w:space="0"/>
                <w:lang w:val="en-US" w:eastAsia="zh-CN" w:bidi="ar"/>
              </w:rPr>
              <w:t>四、异常反应监测和处理</w:t>
            </w:r>
            <w:r>
              <w:rPr>
                <w:rFonts w:hint="eastAsia" w:ascii="宋体" w:hAnsi="宋体" w:eastAsia="宋体" w:cs="Times New Roman"/>
                <w:kern w:val="2"/>
                <w:sz w:val="24"/>
                <w:szCs w:val="24"/>
                <w:bdr w:val="none" w:color="auto" w:sz="0" w:space="0"/>
                <w:lang w:val="en-US" w:eastAsia="zh-CN" w:bidi="ar"/>
              </w:rPr>
              <w:t>”</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新增并改动（三）2.</w:t>
            </w:r>
            <w:r>
              <w:rPr>
                <w:rFonts w:hint="eastAsia" w:ascii="宋体" w:hAnsi="宋体" w:eastAsia="宋体" w:cs="Times New Roman"/>
                <w:color w:val="FF0000"/>
                <w:kern w:val="2"/>
                <w:sz w:val="24"/>
                <w:szCs w:val="24"/>
                <w:bdr w:val="none" w:color="auto" w:sz="0" w:space="0"/>
                <w:lang w:val="en-US" w:eastAsia="zh-CN" w:bidi="ar"/>
              </w:rPr>
              <w:t>新增“《疫苗……鉴定</w:t>
            </w:r>
            <w:r>
              <w:rPr>
                <w:rFonts w:hint="eastAsia" w:ascii="宋体" w:hAnsi="宋体" w:eastAsia="宋体" w:cs="Times New Roman"/>
                <w:kern w:val="2"/>
                <w:sz w:val="24"/>
                <w:szCs w:val="24"/>
                <w:bdr w:val="none" w:color="auto" w:sz="0" w:space="0"/>
                <w:lang w:val="en-US" w:eastAsia="zh-CN" w:bidi="ar"/>
              </w:rPr>
              <w:t>”，其他改动</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改动</w:t>
            </w:r>
            <w:r>
              <w:rPr>
                <w:rFonts w:hint="eastAsia" w:ascii="宋体" w:hAnsi="宋体" w:eastAsia="宋体" w:cs="Times New Roman"/>
                <w:color w:val="FF0000"/>
                <w:kern w:val="2"/>
                <w:sz w:val="24"/>
                <w:szCs w:val="24"/>
                <w:bdr w:val="none" w:color="auto" w:sz="0" w:space="0"/>
                <w:lang w:val="en-US" w:eastAsia="zh-CN" w:bidi="ar"/>
              </w:rPr>
              <w:t>（四）预防接种异常反应的补偿</w:t>
            </w:r>
          </w:p>
        </w:tc>
      </w:tr>
      <w:tr>
        <w:tblPrEx>
          <w:shd w:val="clear"/>
          <w:tblCellMar>
            <w:top w:w="0" w:type="dxa"/>
            <w:left w:w="108" w:type="dxa"/>
            <w:bottom w:w="0" w:type="dxa"/>
            <w:right w:w="108" w:type="dxa"/>
          </w:tblCellMar>
        </w:tblPrEx>
        <w:trPr>
          <w:trHeight w:val="821" w:hRule="atLeast"/>
        </w:trPr>
        <w:tc>
          <w:tcPr>
            <w:tcW w:w="1517" w:type="dxa"/>
            <w:gridSpan w:val="2"/>
            <w:tcBorders>
              <w:top w:val="single" w:color="auto" w:sz="4" w:space="0"/>
              <w:left w:val="single" w:color="auto" w:sz="4" w:space="0"/>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3325"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p>
        </w:tc>
        <w:tc>
          <w:tcPr>
            <w:tcW w:w="4154" w:type="dxa"/>
            <w:gridSpan w:val="2"/>
            <w:tcBorders>
              <w:top w:val="single" w:color="auto" w:sz="4" w:space="0"/>
              <w:left w:val="nil"/>
              <w:bottom w:val="single" w:color="auto" w:sz="4" w:space="0"/>
              <w:right w:val="single" w:color="auto" w:sz="4" w:space="0"/>
            </w:tcBorders>
            <w:shd w:val="clear"/>
            <w:vAlign w:val="top"/>
          </w:tcPr>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 xml:space="preserve">改动 </w:t>
            </w:r>
            <w:r>
              <w:rPr>
                <w:rFonts w:hint="eastAsia" w:ascii="宋体" w:hAnsi="宋体" w:eastAsia="宋体" w:cs="Times New Roman"/>
                <w:color w:val="FF0000"/>
                <w:kern w:val="2"/>
                <w:sz w:val="24"/>
                <w:szCs w:val="24"/>
                <w:bdr w:val="none" w:color="auto" w:sz="0" w:space="0"/>
                <w:lang w:val="en-US" w:eastAsia="zh-CN" w:bidi="ar"/>
              </w:rPr>
              <w:t>五、法律责任（一）（二）</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Times New Roman"/>
                <w:kern w:val="2"/>
                <w:sz w:val="24"/>
                <w:szCs w:val="24"/>
                <w:bdr w:val="none" w:color="auto" w:sz="0" w:space="0"/>
              </w:rPr>
            </w:pPr>
            <w:r>
              <w:rPr>
                <w:rFonts w:hint="eastAsia" w:ascii="宋体" w:hAnsi="宋体" w:eastAsia="宋体" w:cs="Times New Roman"/>
                <w:kern w:val="2"/>
                <w:sz w:val="24"/>
                <w:szCs w:val="24"/>
                <w:bdr w:val="none" w:color="auto" w:sz="0" w:space="0"/>
                <w:lang w:val="en-US" w:eastAsia="zh-CN" w:bidi="ar"/>
              </w:rPr>
              <w:t xml:space="preserve">新增 </w:t>
            </w:r>
            <w:r>
              <w:rPr>
                <w:rFonts w:hint="eastAsia" w:ascii="宋体" w:hAnsi="宋体" w:eastAsia="宋体" w:cs="Times New Roman"/>
                <w:color w:val="FF0000"/>
                <w:kern w:val="2"/>
                <w:sz w:val="24"/>
                <w:szCs w:val="24"/>
                <w:bdr w:val="none" w:color="auto" w:sz="0" w:space="0"/>
                <w:lang w:val="en-US" w:eastAsia="zh-CN" w:bidi="ar"/>
              </w:rPr>
              <w:t>（三）</w:t>
            </w:r>
          </w:p>
        </w:tc>
      </w:tr>
      <w:tr>
        <w:tblPrEx>
          <w:shd w:val="clear"/>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214</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新增</w:t>
            </w:r>
            <w:r>
              <w:rPr>
                <w:rFonts w:hint="eastAsia" w:ascii="Calibri" w:hAnsi="Calibri" w:eastAsia="宋体" w:cs="Times New Roman"/>
                <w:kern w:val="2"/>
                <w:sz w:val="28"/>
                <w:szCs w:val="28"/>
                <w:bdr w:val="none" w:color="auto" w:sz="0" w:space="0"/>
                <w:lang w:val="en-US" w:eastAsia="zh-CN" w:bidi="ar"/>
              </w:rPr>
              <w:t>“国家对从事母婴保健工作的医疗保健机构和人员实施许可，并核发相应的许可证书”</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215</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新增</w:t>
            </w:r>
            <w:r>
              <w:rPr>
                <w:rFonts w:hint="eastAsia" w:ascii="Calibri" w:hAnsi="Calibri" w:eastAsia="宋体" w:cs="Times New Roman"/>
                <w:kern w:val="2"/>
                <w:sz w:val="28"/>
                <w:szCs w:val="28"/>
                <w:bdr w:val="none" w:color="auto" w:sz="0" w:space="0"/>
                <w:lang w:val="en-US" w:eastAsia="zh-CN" w:bidi="ar"/>
              </w:rPr>
              <w:t>“从事母婴保健工作的执业医师应当按照《母婴保健法》的规定取得相应的资格”</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219</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①</w:t>
            </w:r>
            <w:r>
              <w:rPr>
                <w:rFonts w:hint="default" w:ascii="Calibri" w:hAnsi="Calibri" w:eastAsia="宋体" w:cs="Times New Roman"/>
                <w:kern w:val="2"/>
                <w:sz w:val="28"/>
                <w:szCs w:val="28"/>
                <w:bdr w:val="none" w:color="auto" w:sz="0" w:space="0"/>
                <w:lang w:val="en-US" w:eastAsia="zh-CN" w:bidi="ar"/>
              </w:rPr>
              <w:t>侵权责任法</w:t>
            </w:r>
            <w:r>
              <w:rPr>
                <w:rFonts w:hint="eastAsia" w:ascii="Calibri" w:hAnsi="Calibri" w:eastAsia="宋体" w:cs="Times New Roman"/>
                <w:kern w:val="2"/>
                <w:sz w:val="28"/>
                <w:szCs w:val="28"/>
                <w:bdr w:val="none" w:color="auto" w:sz="0" w:space="0"/>
                <w:lang w:val="en-US" w:eastAsia="zh-CN" w:bidi="ar"/>
              </w:rPr>
              <w:t>（医疗损害责任）</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②将“</w:t>
            </w:r>
            <w:r>
              <w:rPr>
                <w:rFonts w:hint="default" w:ascii="Calibri" w:hAnsi="Calibri" w:eastAsia="宋体" w:cs="Calibri"/>
                <w:kern w:val="2"/>
                <w:sz w:val="28"/>
                <w:szCs w:val="28"/>
                <w:bdr w:val="none" w:color="auto" w:sz="0" w:space="0"/>
                <w:lang w:val="en-US" w:eastAsia="zh-CN" w:bidi="ar"/>
              </w:rPr>
              <w:t>2019</w:t>
            </w:r>
            <w:r>
              <w:rPr>
                <w:rFonts w:hint="eastAsia" w:ascii="宋体" w:hAnsi="宋体" w:eastAsia="宋体" w:cs="宋体"/>
                <w:kern w:val="2"/>
                <w:sz w:val="28"/>
                <w:szCs w:val="28"/>
                <w:bdr w:val="none" w:color="auto" w:sz="0" w:space="0"/>
                <w:lang w:val="en-US" w:eastAsia="zh-CN" w:bidi="ar"/>
              </w:rPr>
              <w:t>年</w:t>
            </w:r>
            <w:r>
              <w:rPr>
                <w:rFonts w:hint="default" w:ascii="Calibri" w:hAnsi="Calibri" w:eastAsia="宋体" w:cs="Calibri"/>
                <w:kern w:val="2"/>
                <w:sz w:val="28"/>
                <w:szCs w:val="28"/>
                <w:bdr w:val="none" w:color="auto" w:sz="0" w:space="0"/>
                <w:lang w:val="en-US" w:eastAsia="zh-CN" w:bidi="ar"/>
              </w:rPr>
              <w:t>12</w:t>
            </w:r>
            <w:r>
              <w:rPr>
                <w:rFonts w:hint="eastAsia" w:ascii="宋体" w:hAnsi="宋体" w:eastAsia="宋体" w:cs="宋体"/>
                <w:kern w:val="2"/>
                <w:sz w:val="28"/>
                <w:szCs w:val="28"/>
                <w:bdr w:val="none" w:color="auto" w:sz="0" w:space="0"/>
                <w:lang w:val="en-US" w:eastAsia="zh-CN" w:bidi="ar"/>
              </w:rPr>
              <w:t>月</w:t>
            </w:r>
            <w:r>
              <w:rPr>
                <w:rFonts w:hint="default" w:ascii="Calibri" w:hAnsi="Calibri" w:eastAsia="宋体" w:cs="Calibri"/>
                <w:kern w:val="2"/>
                <w:sz w:val="28"/>
                <w:szCs w:val="28"/>
                <w:bdr w:val="none" w:color="auto" w:sz="0" w:space="0"/>
                <w:lang w:val="en-US" w:eastAsia="zh-CN" w:bidi="ar"/>
              </w:rPr>
              <w:t>26</w:t>
            </w:r>
            <w:r>
              <w:rPr>
                <w:rFonts w:hint="eastAsia" w:ascii="宋体" w:hAnsi="宋体" w:eastAsia="宋体" w:cs="宋体"/>
                <w:kern w:val="2"/>
                <w:sz w:val="28"/>
                <w:szCs w:val="28"/>
                <w:bdr w:val="none" w:color="auto" w:sz="0" w:space="0"/>
                <w:lang w:val="en-US" w:eastAsia="zh-CN" w:bidi="ar"/>
              </w:rPr>
              <w:t>日第十一届全国人大常委会第</w:t>
            </w:r>
            <w:r>
              <w:rPr>
                <w:rFonts w:hint="default" w:ascii="Calibri" w:hAnsi="Calibri" w:eastAsia="宋体" w:cs="Calibri"/>
                <w:kern w:val="2"/>
                <w:sz w:val="28"/>
                <w:szCs w:val="28"/>
                <w:bdr w:val="none" w:color="auto" w:sz="0" w:space="0"/>
                <w:lang w:val="en-US" w:eastAsia="zh-CN" w:bidi="ar"/>
              </w:rPr>
              <w:t>12</w:t>
            </w:r>
            <w:r>
              <w:rPr>
                <w:rFonts w:hint="eastAsia" w:ascii="宋体" w:hAnsi="宋体" w:eastAsia="宋体" w:cs="宋体"/>
                <w:kern w:val="2"/>
                <w:sz w:val="28"/>
                <w:szCs w:val="28"/>
                <w:bdr w:val="none" w:color="auto" w:sz="0" w:space="0"/>
                <w:lang w:val="en-US" w:eastAsia="zh-CN" w:bidi="ar"/>
              </w:rPr>
              <w:t>次会议通过</w:t>
            </w:r>
            <w:r>
              <w:rPr>
                <w:rFonts w:hint="default" w:ascii="Calibri" w:hAnsi="Calibri" w:eastAsia="宋体" w:cs="Times New Roman"/>
                <w:kern w:val="2"/>
                <w:sz w:val="28"/>
                <w:szCs w:val="28"/>
                <w:bdr w:val="none" w:color="auto" w:sz="0" w:space="0"/>
                <w:lang w:val="en-US" w:eastAsia="zh-CN" w:bidi="ar"/>
              </w:rPr>
              <w:t>……’</w:t>
            </w:r>
            <w:r>
              <w:rPr>
                <w:rFonts w:hint="eastAsia" w:ascii="Calibri" w:hAnsi="Calibri" w:eastAsia="宋体" w:cs="Times New Roman"/>
                <w:kern w:val="2"/>
                <w:sz w:val="28"/>
                <w:szCs w:val="28"/>
                <w:bdr w:val="none" w:color="auto" w:sz="0" w:space="0"/>
                <w:lang w:val="en-US" w:eastAsia="zh-CN" w:bidi="ar"/>
              </w:rPr>
              <w:t>医疗损害责任</w:t>
            </w:r>
            <w:r>
              <w:rPr>
                <w:rFonts w:hint="default" w:ascii="Calibri" w:hAnsi="Calibri" w:eastAsia="宋体" w:cs="Times New Roman"/>
                <w:kern w:val="2"/>
                <w:sz w:val="28"/>
                <w:szCs w:val="28"/>
                <w:bdr w:val="none" w:color="auto" w:sz="0" w:space="0"/>
                <w:lang w:val="en-US" w:eastAsia="zh-CN" w:bidi="ar"/>
              </w:rPr>
              <w:t>’</w:t>
            </w:r>
            <w:r>
              <w:rPr>
                <w:rFonts w:hint="eastAsia" w:ascii="Calibri" w:hAnsi="Calibri" w:eastAsia="宋体" w:cs="Times New Roman"/>
                <w:kern w:val="2"/>
                <w:sz w:val="28"/>
                <w:szCs w:val="28"/>
                <w:bdr w:val="none" w:color="auto" w:sz="0" w:space="0"/>
                <w:lang w:val="en-US" w:eastAsia="zh-CN" w:bidi="ar"/>
              </w:rPr>
              <w:t>”</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③将《侵权责任法》</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①</w:t>
            </w:r>
            <w:r>
              <w:rPr>
                <w:rFonts w:hint="default" w:ascii="Calibri" w:hAnsi="Calibri" w:eastAsia="宋体" w:cs="Times New Roman"/>
                <w:color w:val="FF0000"/>
                <w:kern w:val="2"/>
                <w:sz w:val="28"/>
                <w:szCs w:val="28"/>
                <w:bdr w:val="none" w:color="auto" w:sz="0" w:space="0"/>
                <w:lang w:val="en-US" w:eastAsia="zh-CN" w:bidi="ar"/>
              </w:rPr>
              <w:t>医疗损害责任</w:t>
            </w:r>
            <w:r>
              <w:rPr>
                <w:rFonts w:hint="eastAsia" w:ascii="Calibri" w:hAnsi="Calibri" w:eastAsia="宋体" w:cs="Times New Roman"/>
                <w:color w:val="FF0000"/>
                <w:kern w:val="2"/>
                <w:sz w:val="28"/>
                <w:szCs w:val="28"/>
                <w:bdr w:val="none" w:color="auto" w:sz="0" w:space="0"/>
                <w:lang w:val="en-US" w:eastAsia="zh-CN" w:bidi="ar"/>
              </w:rPr>
              <w:t xml:space="preserve">  《中华人民共和国民法典》第七编第六章</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②修改为“</w:t>
            </w:r>
            <w:r>
              <w:rPr>
                <w:rFonts w:hint="default" w:ascii="Calibri" w:hAnsi="Calibri" w:eastAsia="宋体" w:cs="Calibri"/>
                <w:color w:val="FF0000"/>
                <w:kern w:val="2"/>
                <w:sz w:val="28"/>
                <w:szCs w:val="28"/>
                <w:bdr w:val="none" w:color="auto" w:sz="0" w:space="0"/>
                <w:lang w:val="en-US" w:eastAsia="zh-CN" w:bidi="ar"/>
              </w:rPr>
              <w:t>2020</w:t>
            </w:r>
            <w:r>
              <w:rPr>
                <w:rFonts w:hint="eastAsia" w:ascii="宋体" w:hAnsi="宋体" w:eastAsia="宋体" w:cs="宋体"/>
                <w:color w:val="FF0000"/>
                <w:kern w:val="2"/>
                <w:sz w:val="28"/>
                <w:szCs w:val="28"/>
                <w:bdr w:val="none" w:color="auto" w:sz="0" w:space="0"/>
                <w:lang w:val="en-US" w:eastAsia="zh-CN" w:bidi="ar"/>
              </w:rPr>
              <w:t>年</w:t>
            </w:r>
            <w:r>
              <w:rPr>
                <w:rFonts w:hint="default" w:ascii="Calibri" w:hAnsi="Calibri" w:eastAsia="宋体" w:cs="Calibri"/>
                <w:color w:val="FF0000"/>
                <w:kern w:val="2"/>
                <w:sz w:val="28"/>
                <w:szCs w:val="28"/>
                <w:bdr w:val="none" w:color="auto" w:sz="0" w:space="0"/>
                <w:lang w:val="en-US" w:eastAsia="zh-CN" w:bidi="ar"/>
              </w:rPr>
              <w:t>5</w:t>
            </w:r>
            <w:r>
              <w:rPr>
                <w:rFonts w:hint="eastAsia" w:ascii="宋体" w:hAnsi="宋体" w:eastAsia="宋体" w:cs="宋体"/>
                <w:color w:val="FF0000"/>
                <w:kern w:val="2"/>
                <w:sz w:val="28"/>
                <w:szCs w:val="28"/>
                <w:bdr w:val="none" w:color="auto" w:sz="0" w:space="0"/>
                <w:lang w:val="en-US" w:eastAsia="zh-CN" w:bidi="ar"/>
              </w:rPr>
              <w:t>月</w:t>
            </w:r>
            <w:r>
              <w:rPr>
                <w:rFonts w:hint="default" w:ascii="Calibri" w:hAnsi="Calibri" w:eastAsia="宋体" w:cs="Calibri"/>
                <w:color w:val="FF0000"/>
                <w:kern w:val="2"/>
                <w:sz w:val="28"/>
                <w:szCs w:val="28"/>
                <w:bdr w:val="none" w:color="auto" w:sz="0" w:space="0"/>
                <w:lang w:val="en-US" w:eastAsia="zh-CN" w:bidi="ar"/>
              </w:rPr>
              <w:t>28</w:t>
            </w:r>
            <w:r>
              <w:rPr>
                <w:rFonts w:hint="eastAsia" w:ascii="宋体" w:hAnsi="宋体" w:eastAsia="宋体" w:cs="宋体"/>
                <w:color w:val="FF0000"/>
                <w:kern w:val="2"/>
                <w:sz w:val="28"/>
                <w:szCs w:val="28"/>
                <w:bdr w:val="none" w:color="auto" w:sz="0" w:space="0"/>
                <w:lang w:val="en-US" w:eastAsia="zh-CN" w:bidi="ar"/>
              </w:rPr>
              <w:t>日，第十三届全国人民代表大会</w:t>
            </w:r>
            <w:r>
              <w:rPr>
                <w:rFonts w:hint="default" w:ascii="Calibri" w:hAnsi="Calibri" w:eastAsia="宋体" w:cs="Times New Roman"/>
                <w:color w:val="FF0000"/>
                <w:kern w:val="2"/>
                <w:sz w:val="28"/>
                <w:szCs w:val="28"/>
                <w:bdr w:val="none" w:color="auto" w:sz="0" w:space="0"/>
                <w:lang w:val="en-US" w:eastAsia="zh-CN" w:bidi="ar"/>
              </w:rPr>
              <w:t>……</w:t>
            </w:r>
            <w:r>
              <w:rPr>
                <w:rFonts w:hint="eastAsia" w:ascii="Calibri" w:hAnsi="Calibri" w:eastAsia="宋体" w:cs="Times New Roman"/>
                <w:color w:val="FF0000"/>
                <w:kern w:val="2"/>
                <w:sz w:val="28"/>
                <w:szCs w:val="28"/>
                <w:bdr w:val="none" w:color="auto" w:sz="0" w:space="0"/>
                <w:lang w:val="en-US" w:eastAsia="zh-CN" w:bidi="ar"/>
              </w:rPr>
              <w:t>.</w:t>
            </w:r>
            <w:r>
              <w:rPr>
                <w:rFonts w:hint="eastAsia" w:ascii="宋体" w:hAnsi="宋体" w:eastAsia="宋体" w:cs="宋体"/>
                <w:color w:val="FF0000"/>
                <w:kern w:val="2"/>
                <w:sz w:val="28"/>
                <w:szCs w:val="28"/>
                <w:bdr w:val="none" w:color="auto" w:sz="0" w:space="0"/>
                <w:lang w:val="en-US" w:eastAsia="zh-CN" w:bidi="ar"/>
              </w:rPr>
              <w:t>共</w:t>
            </w:r>
            <w:r>
              <w:rPr>
                <w:rFonts w:hint="default" w:ascii="Calibri" w:hAnsi="Calibri" w:eastAsia="宋体" w:cs="Calibri"/>
                <w:color w:val="FF0000"/>
                <w:kern w:val="2"/>
                <w:sz w:val="28"/>
                <w:szCs w:val="28"/>
                <w:bdr w:val="none" w:color="auto" w:sz="0" w:space="0"/>
                <w:lang w:val="en-US" w:eastAsia="zh-CN" w:bidi="ar"/>
              </w:rPr>
              <w:t>11</w:t>
            </w:r>
            <w:r>
              <w:rPr>
                <w:rFonts w:hint="eastAsia" w:ascii="宋体" w:hAnsi="宋体" w:eastAsia="宋体" w:cs="宋体"/>
                <w:color w:val="FF0000"/>
                <w:kern w:val="2"/>
                <w:sz w:val="28"/>
                <w:szCs w:val="28"/>
                <w:bdr w:val="none" w:color="auto" w:sz="0" w:space="0"/>
                <w:lang w:val="en-US" w:eastAsia="zh-CN" w:bidi="ar"/>
              </w:rPr>
              <w:t>条”</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③修改为《民法典》</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④新增“药品上市许可持有人”</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⑤新增“在诊疗活动中受到”</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⑥新增“遗失”</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⑦新增“违法”</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220</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将</w:t>
            </w:r>
            <w:r>
              <w:rPr>
                <w:rFonts w:hint="eastAsia" w:ascii="Calibri" w:hAnsi="Calibri" w:eastAsia="宋体" w:cs="Times New Roman"/>
                <w:kern w:val="2"/>
                <w:sz w:val="28"/>
                <w:szCs w:val="28"/>
                <w:bdr w:val="none" w:color="auto" w:sz="0" w:space="0"/>
                <w:lang w:val="en-US" w:eastAsia="zh-CN" w:bidi="ar"/>
              </w:rPr>
              <w:t>《侵权责任法》</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①</w:t>
            </w:r>
            <w:r>
              <w:rPr>
                <w:rFonts w:hint="default" w:ascii="Calibri" w:hAnsi="Calibri" w:eastAsia="宋体" w:cs="Times New Roman"/>
                <w:color w:val="FF0000"/>
                <w:kern w:val="2"/>
                <w:sz w:val="28"/>
                <w:szCs w:val="28"/>
                <w:bdr w:val="none" w:color="auto" w:sz="0" w:space="0"/>
                <w:lang w:val="en-US" w:eastAsia="zh-CN" w:bidi="ar"/>
              </w:rPr>
              <w:t>修改为</w:t>
            </w:r>
            <w:r>
              <w:rPr>
                <w:rFonts w:hint="eastAsia" w:ascii="Calibri" w:hAnsi="Calibri" w:eastAsia="宋体" w:cs="Times New Roman"/>
                <w:color w:val="FF0000"/>
                <w:kern w:val="2"/>
                <w:sz w:val="28"/>
                <w:szCs w:val="28"/>
                <w:bdr w:val="none" w:color="auto" w:sz="0" w:space="0"/>
                <w:lang w:val="en-US" w:eastAsia="zh-CN" w:bidi="ar"/>
              </w:rPr>
              <w:t>《民法典》</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②新增“个人信息”</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③删除“造成患者损害的”</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④删除“医疗费用”</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⑤新增“及时”</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⑥新增“侵害医务人员合法权益的”</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224</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①新增“</w:t>
            </w:r>
            <w:r>
              <w:rPr>
                <w:rFonts w:hint="default" w:ascii="Calibri" w:hAnsi="Calibri" w:eastAsia="宋体" w:cs="Calibri"/>
                <w:color w:val="FF0000"/>
                <w:kern w:val="2"/>
                <w:sz w:val="28"/>
                <w:szCs w:val="28"/>
                <w:bdr w:val="none" w:color="auto" w:sz="0" w:space="0"/>
                <w:lang w:val="en-US" w:eastAsia="zh-CN" w:bidi="ar"/>
              </w:rPr>
              <w:t>2006</w:t>
            </w:r>
            <w:r>
              <w:rPr>
                <w:rFonts w:hint="eastAsia" w:ascii="宋体" w:hAnsi="宋体" w:eastAsia="宋体" w:cs="宋体"/>
                <w:color w:val="FF0000"/>
                <w:kern w:val="2"/>
                <w:sz w:val="28"/>
                <w:szCs w:val="28"/>
                <w:bdr w:val="none" w:color="auto" w:sz="0" w:space="0"/>
                <w:lang w:val="en-US" w:eastAsia="zh-CN" w:bidi="ar"/>
              </w:rPr>
              <w:t>年</w:t>
            </w:r>
            <w:r>
              <w:rPr>
                <w:rFonts w:hint="default" w:ascii="Calibri" w:hAnsi="Calibri" w:eastAsia="宋体" w:cs="Calibri"/>
                <w:color w:val="FF0000"/>
                <w:kern w:val="2"/>
                <w:sz w:val="28"/>
                <w:szCs w:val="28"/>
                <w:bdr w:val="none" w:color="auto" w:sz="0" w:space="0"/>
                <w:lang w:val="en-US" w:eastAsia="zh-CN" w:bidi="ar"/>
              </w:rPr>
              <w:t>11</w:t>
            </w:r>
            <w:r>
              <w:rPr>
                <w:rFonts w:hint="eastAsia" w:ascii="宋体" w:hAnsi="宋体" w:eastAsia="宋体" w:cs="宋体"/>
                <w:color w:val="FF0000"/>
                <w:kern w:val="2"/>
                <w:sz w:val="28"/>
                <w:szCs w:val="28"/>
                <w:bdr w:val="none" w:color="auto" w:sz="0" w:space="0"/>
                <w:lang w:val="en-US" w:eastAsia="zh-CN" w:bidi="ar"/>
              </w:rPr>
              <w:t>月</w:t>
            </w:r>
            <w:r>
              <w:rPr>
                <w:rFonts w:hint="default" w:ascii="Calibri" w:hAnsi="Calibri" w:eastAsia="宋体" w:cs="Calibri"/>
                <w:color w:val="FF0000"/>
                <w:kern w:val="2"/>
                <w:sz w:val="28"/>
                <w:szCs w:val="28"/>
                <w:bdr w:val="none" w:color="auto" w:sz="0" w:space="0"/>
                <w:lang w:val="en-US" w:eastAsia="zh-CN" w:bidi="ar"/>
              </w:rPr>
              <w:t>1</w:t>
            </w:r>
            <w:r>
              <w:rPr>
                <w:rFonts w:hint="eastAsia" w:ascii="宋体" w:hAnsi="宋体" w:eastAsia="宋体" w:cs="宋体"/>
                <w:color w:val="FF0000"/>
                <w:kern w:val="2"/>
                <w:sz w:val="28"/>
                <w:szCs w:val="28"/>
                <w:bdr w:val="none" w:color="auto" w:sz="0" w:space="0"/>
                <w:lang w:val="en-US" w:eastAsia="zh-CN" w:bidi="ar"/>
              </w:rPr>
              <w:t>日”</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②新增“卫生部”</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③删除“自</w:t>
            </w:r>
            <w:r>
              <w:rPr>
                <w:rFonts w:hint="default" w:ascii="Calibri" w:hAnsi="Calibri" w:eastAsia="宋体" w:cs="Calibri"/>
                <w:color w:val="FF0000"/>
                <w:kern w:val="2"/>
                <w:sz w:val="28"/>
                <w:szCs w:val="28"/>
                <w:bdr w:val="none" w:color="auto" w:sz="0" w:space="0"/>
                <w:lang w:val="en-US" w:eastAsia="zh-CN" w:bidi="ar"/>
              </w:rPr>
              <w:t>2017</w:t>
            </w:r>
            <w:r>
              <w:rPr>
                <w:rFonts w:hint="eastAsia" w:ascii="宋体" w:hAnsi="宋体" w:eastAsia="宋体" w:cs="宋体"/>
                <w:color w:val="FF0000"/>
                <w:kern w:val="2"/>
                <w:sz w:val="28"/>
                <w:szCs w:val="28"/>
                <w:bdr w:val="none" w:color="auto" w:sz="0" w:space="0"/>
                <w:lang w:val="en-US" w:eastAsia="zh-CN" w:bidi="ar"/>
              </w:rPr>
              <w:t>年</w:t>
            </w:r>
            <w:r>
              <w:rPr>
                <w:rFonts w:hint="default" w:ascii="Calibri" w:hAnsi="Calibri" w:eastAsia="宋体" w:cs="Calibri"/>
                <w:color w:val="FF0000"/>
                <w:kern w:val="2"/>
                <w:sz w:val="28"/>
                <w:szCs w:val="28"/>
                <w:bdr w:val="none" w:color="auto" w:sz="0" w:space="0"/>
                <w:lang w:val="en-US" w:eastAsia="zh-CN" w:bidi="ar"/>
              </w:rPr>
              <w:t>4</w:t>
            </w:r>
            <w:r>
              <w:rPr>
                <w:rFonts w:hint="eastAsia" w:ascii="宋体" w:hAnsi="宋体" w:eastAsia="宋体" w:cs="宋体"/>
                <w:color w:val="FF0000"/>
                <w:kern w:val="2"/>
                <w:sz w:val="28"/>
                <w:szCs w:val="28"/>
                <w:bdr w:val="none" w:color="auto" w:sz="0" w:space="0"/>
                <w:lang w:val="en-US" w:eastAsia="zh-CN" w:bidi="ar"/>
              </w:rPr>
              <w:t>月</w:t>
            </w:r>
            <w:r>
              <w:rPr>
                <w:rFonts w:hint="default" w:ascii="Calibri" w:hAnsi="Calibri" w:eastAsia="宋体" w:cs="Calibri"/>
                <w:color w:val="FF0000"/>
                <w:kern w:val="2"/>
                <w:sz w:val="28"/>
                <w:szCs w:val="28"/>
                <w:bdr w:val="none" w:color="auto" w:sz="0" w:space="0"/>
                <w:lang w:val="en-US" w:eastAsia="zh-CN" w:bidi="ar"/>
              </w:rPr>
              <w:t>1</w:t>
            </w:r>
            <w:r>
              <w:rPr>
                <w:rFonts w:hint="eastAsia" w:ascii="宋体" w:hAnsi="宋体" w:eastAsia="宋体" w:cs="宋体"/>
                <w:color w:val="FF0000"/>
                <w:kern w:val="2"/>
                <w:sz w:val="28"/>
                <w:szCs w:val="28"/>
                <w:bdr w:val="none" w:color="auto" w:sz="0" w:space="0"/>
                <w:lang w:val="en-US" w:eastAsia="zh-CN" w:bidi="ar"/>
              </w:rPr>
              <w:t>日起施行</w:t>
            </w:r>
            <w:r>
              <w:rPr>
                <w:rFonts w:hint="eastAsia" w:ascii="Calibri" w:hAnsi="Calibri" w:eastAsia="宋体" w:cs="Times New Roman"/>
                <w:kern w:val="2"/>
                <w:sz w:val="28"/>
                <w:szCs w:val="28"/>
                <w:bdr w:val="none" w:color="auto" w:sz="0" w:space="0"/>
                <w:lang w:val="en-US" w:eastAsia="zh-CN" w:bidi="ar"/>
              </w:rPr>
              <w:t>”</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225</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default" w:ascii="Calibri" w:hAnsi="Calibri" w:eastAsia="宋体" w:cs="Times New Roman"/>
                <w:color w:val="FF0000"/>
                <w:kern w:val="2"/>
                <w:sz w:val="28"/>
                <w:szCs w:val="28"/>
                <w:bdr w:val="none" w:color="auto" w:sz="0" w:space="0"/>
                <w:lang w:val="en-US" w:eastAsia="zh-CN" w:bidi="ar"/>
              </w:rPr>
              <w:t>新增</w:t>
            </w:r>
            <w:r>
              <w:rPr>
                <w:rFonts w:hint="eastAsia" w:ascii="Calibri" w:hAnsi="Calibri" w:eastAsia="宋体" w:cs="Times New Roman"/>
                <w:color w:val="FF0000"/>
                <w:kern w:val="2"/>
                <w:sz w:val="28"/>
                <w:szCs w:val="28"/>
                <w:bdr w:val="none" w:color="auto" w:sz="0" w:space="0"/>
                <w:lang w:val="en-US" w:eastAsia="zh-CN" w:bidi="ar"/>
              </w:rPr>
              <w:t>“《基本医疗保健与健康促进法》规定，伪造、变造、买卖、出租、出借“医疗机构卫生许可证”的由</w:t>
            </w:r>
            <w:r>
              <w:rPr>
                <w:rFonts w:hint="default" w:ascii="Calibri" w:hAnsi="Calibri" w:eastAsia="宋体" w:cs="Times New Roman"/>
                <w:color w:val="FF0000"/>
                <w:kern w:val="2"/>
                <w:sz w:val="28"/>
                <w:szCs w:val="28"/>
                <w:bdr w:val="none" w:color="auto" w:sz="0" w:space="0"/>
                <w:lang w:val="en-US" w:eastAsia="zh-CN" w:bidi="ar"/>
              </w:rPr>
              <w:t>………</w:t>
            </w:r>
            <w:r>
              <w:rPr>
                <w:rFonts w:hint="eastAsia" w:ascii="Calibri" w:hAnsi="Calibri" w:eastAsia="宋体" w:cs="Times New Roman"/>
                <w:color w:val="FF0000"/>
                <w:kern w:val="2"/>
                <w:sz w:val="28"/>
                <w:szCs w:val="28"/>
                <w:bdr w:val="none" w:color="auto" w:sz="0" w:space="0"/>
                <w:lang w:val="en-US" w:eastAsia="zh-CN" w:bidi="ar"/>
              </w:rPr>
              <w:t>..</w:t>
            </w:r>
            <w:r>
              <w:rPr>
                <w:rFonts w:hint="eastAsia" w:ascii="宋体" w:hAnsi="宋体" w:eastAsia="宋体" w:cs="宋体"/>
                <w:color w:val="FF0000"/>
                <w:kern w:val="2"/>
                <w:sz w:val="28"/>
                <w:szCs w:val="28"/>
                <w:bdr w:val="none" w:color="auto" w:sz="0" w:space="0"/>
                <w:lang w:val="en-US" w:eastAsia="zh-CN" w:bidi="ar"/>
              </w:rPr>
              <w:t>“医疗机构执业许可证””</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226</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第十四节</w:t>
            </w:r>
            <w:r>
              <w:rPr>
                <w:rFonts w:hint="eastAsia" w:ascii="Calibri" w:hAnsi="Calibri" w:eastAsia="宋体" w:cs="Times New Roman"/>
                <w:kern w:val="2"/>
                <w:sz w:val="28"/>
                <w:szCs w:val="28"/>
                <w:bdr w:val="none" w:color="auto" w:sz="0" w:space="0"/>
                <w:lang w:val="en-US" w:eastAsia="zh-CN" w:bidi="ar"/>
              </w:rPr>
              <w:t xml:space="preserve"> 医疗纠纷预防和处理条例</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①</w:t>
            </w:r>
            <w:r>
              <w:rPr>
                <w:rFonts w:hint="default" w:ascii="Calibri" w:hAnsi="Calibri" w:eastAsia="宋体" w:cs="Times New Roman"/>
                <w:kern w:val="2"/>
                <w:sz w:val="28"/>
                <w:szCs w:val="28"/>
                <w:bdr w:val="none" w:color="auto" w:sz="0" w:space="0"/>
                <w:lang w:val="en-US" w:eastAsia="zh-CN" w:bidi="ar"/>
              </w:rPr>
              <w:t>第八节</w:t>
            </w:r>
            <w:r>
              <w:rPr>
                <w:rFonts w:hint="eastAsia" w:ascii="Calibri" w:hAnsi="Calibri" w:eastAsia="宋体" w:cs="Times New Roman"/>
                <w:kern w:val="2"/>
                <w:sz w:val="28"/>
                <w:szCs w:val="28"/>
                <w:bdr w:val="none" w:color="auto" w:sz="0" w:space="0"/>
                <w:lang w:val="en-US" w:eastAsia="zh-CN" w:bidi="ar"/>
              </w:rPr>
              <w:t xml:space="preserve">  医疗纠纷预防和处理条例  顺序变化</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②新增“处理医疗纠纷的原则</w:t>
            </w:r>
            <w:r>
              <w:rPr>
                <w:rFonts w:hint="default" w:ascii="Calibri" w:hAnsi="Calibri" w:eastAsia="宋体" w:cs="Times New Roman"/>
                <w:kern w:val="2"/>
                <w:sz w:val="28"/>
                <w:szCs w:val="28"/>
                <w:bdr w:val="none" w:color="auto" w:sz="0" w:space="0"/>
                <w:lang w:val="en-US" w:eastAsia="zh-CN" w:bidi="ar"/>
              </w:rPr>
              <w:t>……</w:t>
            </w:r>
            <w:r>
              <w:rPr>
                <w:rFonts w:hint="eastAsia" w:ascii="Calibri" w:hAnsi="Calibri" w:eastAsia="宋体" w:cs="Times New Roman"/>
                <w:kern w:val="2"/>
                <w:sz w:val="28"/>
                <w:szCs w:val="28"/>
                <w:bdr w:val="none" w:color="auto" w:sz="0" w:space="0"/>
                <w:lang w:val="en-US" w:eastAsia="zh-CN" w:bidi="ar"/>
              </w:rPr>
              <w:t>依法处理”</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③新增“病历是指</w:t>
            </w:r>
            <w:r>
              <w:rPr>
                <w:rFonts w:hint="default" w:ascii="Calibri" w:hAnsi="Calibri" w:eastAsia="宋体" w:cs="Times New Roman"/>
                <w:kern w:val="2"/>
                <w:sz w:val="28"/>
                <w:szCs w:val="28"/>
                <w:bdr w:val="none" w:color="auto" w:sz="0" w:space="0"/>
                <w:lang w:val="en-US" w:eastAsia="zh-CN" w:bidi="ar"/>
              </w:rPr>
              <w:t>……</w:t>
            </w:r>
            <w:r>
              <w:rPr>
                <w:rFonts w:hint="eastAsia" w:ascii="Calibri" w:hAnsi="Calibri" w:eastAsia="宋体" w:cs="Times New Roman"/>
                <w:kern w:val="2"/>
                <w:sz w:val="28"/>
                <w:szCs w:val="28"/>
                <w:bdr w:val="none" w:color="auto" w:sz="0" w:space="0"/>
                <w:lang w:val="en-US" w:eastAsia="zh-CN" w:bidi="ar"/>
              </w:rPr>
              <w:t>整理形成医疗活动记录的行为”</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227</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删除</w:t>
            </w:r>
            <w:r>
              <w:rPr>
                <w:rFonts w:hint="eastAsia" w:ascii="Calibri" w:hAnsi="Calibri" w:eastAsia="宋体" w:cs="Times New Roman"/>
                <w:kern w:val="2"/>
                <w:sz w:val="28"/>
                <w:szCs w:val="28"/>
                <w:bdr w:val="none" w:color="auto" w:sz="0" w:space="0"/>
                <w:lang w:val="en-US" w:eastAsia="zh-CN" w:bidi="ar"/>
              </w:rPr>
              <w:t>“处理医疗纠纷应遵循“遵循公平、公正、及时的原则，实事求是，依法处理””</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228</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eastAsia" w:ascii="Calibri" w:hAnsi="Calibri" w:eastAsia="宋体" w:cs="Times New Roman"/>
                <w:color w:val="FF0000"/>
                <w:kern w:val="2"/>
                <w:sz w:val="28"/>
                <w:szCs w:val="28"/>
                <w:bdr w:val="none" w:color="auto" w:sz="0" w:space="0"/>
                <w:lang w:val="en-US" w:eastAsia="zh-CN" w:bidi="ar"/>
              </w:rPr>
              <w:t>①</w:t>
            </w:r>
            <w:r>
              <w:rPr>
                <w:rFonts w:hint="default" w:ascii="Calibri" w:hAnsi="Calibri" w:eastAsia="宋体" w:cs="Times New Roman"/>
                <w:color w:val="FF0000"/>
                <w:kern w:val="2"/>
                <w:sz w:val="28"/>
                <w:szCs w:val="28"/>
                <w:bdr w:val="none" w:color="auto" w:sz="0" w:space="0"/>
                <w:lang w:val="en-US" w:eastAsia="zh-CN" w:bidi="ar"/>
              </w:rPr>
              <w:t>删除</w:t>
            </w:r>
            <w:r>
              <w:rPr>
                <w:rFonts w:hint="eastAsia" w:ascii="Calibri" w:hAnsi="Calibri" w:eastAsia="宋体" w:cs="Times New Roman"/>
                <w:color w:val="FF0000"/>
                <w:kern w:val="2"/>
                <w:sz w:val="28"/>
                <w:szCs w:val="28"/>
                <w:bdr w:val="none" w:color="auto" w:sz="0" w:space="0"/>
                <w:lang w:val="en-US" w:eastAsia="zh-CN" w:bidi="ar"/>
              </w:rPr>
              <w:t>“或者卫生主管部门委托鉴定”</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②删除“医疗机构将未通过技术评估和伦理审查的医疗新技术应用于临床的法律责任</w:t>
            </w:r>
            <w:r>
              <w:rPr>
                <w:rFonts w:hint="default" w:ascii="Calibri" w:hAnsi="Calibri" w:eastAsia="宋体" w:cs="Times New Roman"/>
                <w:kern w:val="2"/>
                <w:sz w:val="28"/>
                <w:szCs w:val="28"/>
                <w:bdr w:val="none" w:color="auto" w:sz="0" w:space="0"/>
                <w:lang w:val="en-US" w:eastAsia="zh-CN" w:bidi="ar"/>
              </w:rPr>
              <w:t>……</w:t>
            </w:r>
            <w:r>
              <w:rPr>
                <w:rFonts w:hint="eastAsia" w:ascii="Calibri" w:hAnsi="Calibri" w:eastAsia="宋体" w:cs="Times New Roman"/>
                <w:kern w:val="2"/>
                <w:sz w:val="28"/>
                <w:szCs w:val="28"/>
                <w:bdr w:val="none" w:color="auto" w:sz="0" w:space="0"/>
                <w:lang w:val="en-US" w:eastAsia="zh-CN" w:bidi="ar"/>
              </w:rPr>
              <w:t>”</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229</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将</w:t>
            </w:r>
            <w:r>
              <w:rPr>
                <w:rFonts w:hint="eastAsia" w:ascii="Calibri" w:hAnsi="Calibri" w:eastAsia="宋体" w:cs="Times New Roman"/>
                <w:kern w:val="2"/>
                <w:sz w:val="28"/>
                <w:szCs w:val="28"/>
                <w:bdr w:val="none" w:color="auto" w:sz="0" w:space="0"/>
                <w:lang w:val="en-US" w:eastAsia="zh-CN" w:bidi="ar"/>
              </w:rPr>
              <w:t>“</w:t>
            </w:r>
            <w:r>
              <w:rPr>
                <w:rFonts w:hint="default" w:ascii="Calibri" w:hAnsi="Calibri" w:eastAsia="宋体" w:cs="Times New Roman"/>
                <w:kern w:val="2"/>
                <w:sz w:val="28"/>
                <w:szCs w:val="28"/>
                <w:bdr w:val="none" w:color="auto" w:sz="0" w:space="0"/>
                <w:lang w:val="en-US" w:eastAsia="zh-CN" w:bidi="ar"/>
              </w:rPr>
              <w:t>医疗事故处理条例</w:t>
            </w:r>
            <w:r>
              <w:rPr>
                <w:rFonts w:hint="eastAsia" w:ascii="Calibri" w:hAnsi="Calibri" w:eastAsia="宋体" w:cs="Times New Roman"/>
                <w:kern w:val="2"/>
                <w:sz w:val="28"/>
                <w:szCs w:val="28"/>
                <w:bdr w:val="none" w:color="auto" w:sz="0" w:space="0"/>
                <w:lang w:val="en-US" w:eastAsia="zh-CN" w:bidi="ar"/>
              </w:rPr>
              <w:t>”</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修改为</w:t>
            </w:r>
            <w:r>
              <w:rPr>
                <w:rFonts w:hint="eastAsia" w:ascii="Calibri" w:hAnsi="Calibri" w:eastAsia="宋体" w:cs="Times New Roman"/>
                <w:kern w:val="2"/>
                <w:sz w:val="28"/>
                <w:szCs w:val="28"/>
                <w:bdr w:val="none" w:color="auto" w:sz="0" w:space="0"/>
                <w:lang w:val="en-US" w:eastAsia="zh-CN" w:bidi="ar"/>
              </w:rPr>
              <w:t>“《医疗事故处理条例》”</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231</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将</w:t>
            </w:r>
            <w:r>
              <w:rPr>
                <w:rFonts w:hint="eastAsia" w:ascii="Calibri" w:hAnsi="Calibri" w:eastAsia="宋体" w:cs="Times New Roman"/>
                <w:kern w:val="2"/>
                <w:sz w:val="28"/>
                <w:szCs w:val="28"/>
                <w:bdr w:val="none" w:color="auto" w:sz="0" w:space="0"/>
                <w:lang w:val="en-US" w:eastAsia="zh-CN" w:bidi="ar"/>
              </w:rPr>
              <w:t>“人体器官移植条例”</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修改为</w:t>
            </w:r>
            <w:r>
              <w:rPr>
                <w:rFonts w:hint="eastAsia" w:ascii="Calibri" w:hAnsi="Calibri" w:eastAsia="宋体" w:cs="Times New Roman"/>
                <w:kern w:val="2"/>
                <w:sz w:val="28"/>
                <w:szCs w:val="28"/>
                <w:bdr w:val="none" w:color="auto" w:sz="0" w:space="0"/>
                <w:lang w:val="en-US" w:eastAsia="zh-CN" w:bidi="ar"/>
              </w:rPr>
              <w:t>“《人体器官移植条例》”</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234</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将</w:t>
            </w:r>
            <w:r>
              <w:rPr>
                <w:rFonts w:hint="eastAsia" w:ascii="Calibri" w:hAnsi="Calibri" w:eastAsia="宋体" w:cs="Times New Roman"/>
                <w:kern w:val="2"/>
                <w:sz w:val="28"/>
                <w:szCs w:val="28"/>
                <w:bdr w:val="none" w:color="auto" w:sz="0" w:space="0"/>
                <w:lang w:val="en-US" w:eastAsia="zh-CN" w:bidi="ar"/>
              </w:rPr>
              <w:t>“放射诊疗管理规定”</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修改为</w:t>
            </w:r>
            <w:r>
              <w:rPr>
                <w:rFonts w:hint="eastAsia" w:ascii="Calibri" w:hAnsi="Calibri" w:eastAsia="宋体" w:cs="Times New Roman"/>
                <w:kern w:val="2"/>
                <w:sz w:val="28"/>
                <w:szCs w:val="28"/>
                <w:bdr w:val="none" w:color="auto" w:sz="0" w:space="0"/>
                <w:lang w:val="en-US" w:eastAsia="zh-CN" w:bidi="ar"/>
              </w:rPr>
              <w:t>“《放射诊疗管理规定》”</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236</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将</w:t>
            </w:r>
            <w:r>
              <w:rPr>
                <w:rFonts w:hint="eastAsia" w:ascii="Calibri" w:hAnsi="Calibri" w:eastAsia="宋体" w:cs="Times New Roman"/>
                <w:kern w:val="2"/>
                <w:sz w:val="28"/>
                <w:szCs w:val="28"/>
                <w:bdr w:val="none" w:color="auto" w:sz="0" w:space="0"/>
                <w:lang w:val="en-US" w:eastAsia="zh-CN" w:bidi="ar"/>
              </w:rPr>
              <w:t>“卫生部”</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default" w:ascii="Calibri" w:hAnsi="Calibri" w:eastAsia="宋体" w:cs="Times New Roman"/>
                <w:kern w:val="2"/>
                <w:sz w:val="28"/>
                <w:szCs w:val="28"/>
                <w:bdr w:val="none" w:color="auto" w:sz="0" w:space="0"/>
                <w:lang w:val="en-US" w:eastAsia="zh-CN" w:bidi="ar"/>
              </w:rPr>
              <w:t>修改为</w:t>
            </w:r>
            <w:r>
              <w:rPr>
                <w:rFonts w:hint="eastAsia" w:ascii="Calibri" w:hAnsi="Calibri" w:eastAsia="宋体" w:cs="Times New Roman"/>
                <w:kern w:val="2"/>
                <w:sz w:val="28"/>
                <w:szCs w:val="28"/>
                <w:bdr w:val="none" w:color="auto" w:sz="0" w:space="0"/>
                <w:lang w:val="en-US" w:eastAsia="zh-CN" w:bidi="ar"/>
              </w:rPr>
              <w:t>“国务院卫生行政部门”</w:t>
            </w: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245</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①</w:t>
            </w:r>
            <w:r>
              <w:rPr>
                <w:rFonts w:hint="default" w:ascii="Calibri" w:hAnsi="Calibri" w:eastAsia="宋体" w:cs="Times New Roman"/>
                <w:kern w:val="2"/>
                <w:sz w:val="28"/>
                <w:szCs w:val="28"/>
                <w:bdr w:val="none" w:color="auto" w:sz="0" w:space="0"/>
                <w:lang w:val="en-US" w:eastAsia="zh-CN" w:bidi="ar"/>
              </w:rPr>
              <w:t>新增</w:t>
            </w:r>
            <w:r>
              <w:rPr>
                <w:rFonts w:hint="eastAsia" w:ascii="Calibri" w:hAnsi="Calibri" w:eastAsia="宋体" w:cs="Times New Roman"/>
                <w:kern w:val="2"/>
                <w:sz w:val="28"/>
                <w:szCs w:val="28"/>
                <w:bdr w:val="none" w:color="auto" w:sz="0" w:space="0"/>
                <w:lang w:val="en-US" w:eastAsia="zh-CN" w:bidi="ar"/>
              </w:rPr>
              <w:t>“药品不良反应报告和监测，是指药品不良反应的发现、报告、评价和控制的过程”</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②新增“医疗机构发现或获知新</w:t>
            </w:r>
            <w:r>
              <w:rPr>
                <w:rFonts w:hint="default" w:ascii="Calibri" w:hAnsi="Calibri" w:eastAsia="宋体" w:cs="Times New Roman"/>
                <w:kern w:val="2"/>
                <w:sz w:val="28"/>
                <w:szCs w:val="28"/>
                <w:bdr w:val="none" w:color="auto" w:sz="0" w:space="0"/>
                <w:lang w:val="en-US" w:eastAsia="zh-CN" w:bidi="ar"/>
              </w:rPr>
              <w:t>……</w:t>
            </w:r>
            <w:r>
              <w:rPr>
                <w:rFonts w:hint="eastAsia" w:ascii="Calibri" w:hAnsi="Calibri" w:eastAsia="宋体" w:cs="Times New Roman"/>
                <w:kern w:val="2"/>
                <w:sz w:val="28"/>
                <w:szCs w:val="28"/>
                <w:bdr w:val="none" w:color="auto" w:sz="0" w:space="0"/>
                <w:lang w:val="en-US" w:eastAsia="zh-CN" w:bidi="ar"/>
              </w:rPr>
              <w:t>上述所列情况的”</w:t>
            </w:r>
          </w:p>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r>
              <w:rPr>
                <w:rFonts w:hint="eastAsia" w:ascii="Calibri" w:hAnsi="Calibri" w:eastAsia="宋体" w:cs="Times New Roman"/>
                <w:kern w:val="2"/>
                <w:sz w:val="28"/>
                <w:szCs w:val="28"/>
                <w:bdr w:val="none" w:color="auto" w:sz="0" w:space="0"/>
                <w:lang w:val="en-US" w:eastAsia="zh-CN" w:bidi="ar"/>
              </w:rPr>
              <w:t>224</w:t>
            </w: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color w:val="FF0000"/>
                <w:kern w:val="2"/>
                <w:sz w:val="28"/>
                <w:szCs w:val="28"/>
                <w:bdr w:val="none" w:color="auto" w:sz="0" w:space="0"/>
              </w:rPr>
            </w:pPr>
            <w:r>
              <w:rPr>
                <w:rFonts w:hint="default" w:ascii="Calibri" w:hAnsi="Calibri" w:eastAsia="宋体" w:cs="Times New Roman"/>
                <w:color w:val="FF0000"/>
                <w:kern w:val="2"/>
                <w:sz w:val="28"/>
                <w:szCs w:val="28"/>
                <w:bdr w:val="none" w:color="auto" w:sz="0" w:space="0"/>
                <w:lang w:val="en-US" w:eastAsia="zh-CN" w:bidi="ar"/>
              </w:rPr>
              <w:t>删除</w:t>
            </w:r>
            <w:r>
              <w:rPr>
                <w:rFonts w:hint="eastAsia" w:ascii="Calibri" w:hAnsi="Calibri" w:eastAsia="宋体" w:cs="Times New Roman"/>
                <w:color w:val="FF0000"/>
                <w:kern w:val="2"/>
                <w:sz w:val="28"/>
                <w:szCs w:val="28"/>
                <w:bdr w:val="none" w:color="auto" w:sz="0" w:space="0"/>
                <w:lang w:val="en-US" w:eastAsia="zh-CN" w:bidi="ar"/>
              </w:rPr>
              <w:t>“医疗事故处理条例”医疗事故的预防与处置、医疗事故的技术鉴定、医疗事故的行政处理与监督（一）（二）</w:t>
            </w:r>
            <w:r>
              <w:rPr>
                <w:rFonts w:hint="default" w:ascii="Calibri" w:hAnsi="Calibri" w:eastAsia="宋体" w:cs="Calibri"/>
                <w:color w:val="FF0000"/>
                <w:kern w:val="2"/>
                <w:sz w:val="28"/>
                <w:szCs w:val="28"/>
                <w:bdr w:val="none" w:color="auto" w:sz="0" w:space="0"/>
                <w:lang w:val="en-US" w:eastAsia="zh-CN" w:bidi="ar"/>
              </w:rPr>
              <w:t>1.2.</w:t>
            </w: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0" w:type="auto"/>
            <w:shd w:val="clear"/>
            <w:vAlign w:val="center"/>
          </w:tcPr>
          <w:p>
            <w:pPr>
              <w:rPr>
                <w:rFonts w:hint="default" w:ascii="Times New Roman" w:hAnsi="Times New Roman" w:cs="Times New Roman"/>
                <w:sz w:val="20"/>
                <w:szCs w:val="20"/>
              </w:rPr>
            </w:pPr>
          </w:p>
        </w:tc>
      </w:tr>
      <w:tr>
        <w:tblPrEx>
          <w:tblCellMar>
            <w:top w:w="0" w:type="dxa"/>
            <w:left w:w="108" w:type="dxa"/>
            <w:bottom w:w="0" w:type="dxa"/>
            <w:right w:w="108" w:type="dxa"/>
          </w:tblCellMar>
        </w:tblPrEx>
        <w:tc>
          <w:tcPr>
            <w:tcW w:w="1668" w:type="dxa"/>
            <w:gridSpan w:val="3"/>
            <w:tcBorders>
              <w:top w:val="single" w:color="000000" w:sz="4" w:space="0"/>
              <w:left w:val="single" w:color="000000" w:sz="4" w:space="0"/>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3260"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4111" w:type="dxa"/>
            <w:tcBorders>
              <w:top w:val="single" w:color="000000" w:sz="4" w:space="0"/>
              <w:left w:val="nil"/>
              <w:bottom w:val="single" w:color="000000" w:sz="4" w:space="0"/>
              <w:right w:val="single" w:color="000000" w:sz="4" w:space="0"/>
            </w:tcBorders>
            <w:shd w:val="clear"/>
            <w:vAlign w:val="top"/>
          </w:tcPr>
          <w:p>
            <w:pPr>
              <w:keepNext w:val="0"/>
              <w:keepLines w:val="0"/>
              <w:widowControl w:val="0"/>
              <w:suppressLineNumbers w:val="0"/>
              <w:spacing w:before="0" w:beforeAutospacing="0" w:after="0" w:afterAutospacing="0"/>
              <w:ind w:left="0" w:right="0"/>
              <w:jc w:val="center"/>
              <w:rPr>
                <w:rFonts w:hint="default" w:ascii="Calibri" w:hAnsi="Calibri" w:eastAsia="宋体" w:cs="Times New Roman"/>
                <w:kern w:val="2"/>
                <w:sz w:val="28"/>
                <w:szCs w:val="28"/>
                <w:bdr w:val="none" w:color="auto" w:sz="0" w:space="0"/>
              </w:rPr>
            </w:pPr>
          </w:p>
        </w:tc>
        <w:tc>
          <w:tcPr>
            <w:tcW w:w="0" w:type="auto"/>
            <w:shd w:val="clear"/>
            <w:vAlign w:val="center"/>
          </w:tcPr>
          <w:p>
            <w:pPr>
              <w:rPr>
                <w:rFonts w:hint="default" w:ascii="Times New Roman" w:hAnsi="Times New Roman" w:cs="Times New Roman"/>
                <w:sz w:val="20"/>
                <w:szCs w:val="20"/>
              </w:rPr>
            </w:pPr>
          </w:p>
        </w:tc>
      </w:tr>
    </w:tbl>
    <w:p>
      <w:pPr>
        <w:spacing w:line="360" w:lineRule="auto"/>
        <w:jc w:val="both"/>
        <w:rPr>
          <w:rFonts w:hint="eastAsia" w:cs="微软雅黑" w:asciiTheme="minorEastAsia" w:hAnsiTheme="minorEastAsia"/>
          <w:color w:val="000000" w:themeColor="text1"/>
          <w:szCs w:val="21"/>
        </w:rPr>
      </w:pPr>
    </w:p>
    <w:p>
      <w:pPr>
        <w:spacing w:line="360" w:lineRule="auto"/>
        <w:jc w:val="both"/>
        <w:rPr>
          <w:rFonts w:hint="eastAsia" w:cs="微软雅黑" w:asciiTheme="minorEastAsia" w:hAnsiTheme="minorEastAsia"/>
          <w:color w:val="000000" w:themeColor="text1"/>
          <w:szCs w:val="21"/>
        </w:rPr>
      </w:pPr>
    </w:p>
    <w:p>
      <w:pPr>
        <w:spacing w:line="360" w:lineRule="auto"/>
        <w:jc w:val="center"/>
        <w:rPr>
          <w:rFonts w:cs="微软雅黑" w:asciiTheme="minorEastAsia" w:hAnsiTheme="minorEastAsia"/>
          <w:color w:val="000000" w:themeColor="text1"/>
          <w:szCs w:val="21"/>
        </w:rPr>
      </w:pPr>
      <w:r>
        <w:rPr>
          <w:rFonts w:hint="eastAsia" w:cs="微软雅黑" w:asciiTheme="minorEastAsia" w:hAnsiTheme="minorEastAsia"/>
          <w:color w:val="000000" w:themeColor="text1"/>
          <w:szCs w:val="21"/>
        </w:rPr>
        <w:drawing>
          <wp:inline distT="0" distB="0" distL="114300" distR="114300">
            <wp:extent cx="2457450" cy="2457450"/>
            <wp:effectExtent l="0" t="0" r="6350" b="6350"/>
            <wp:docPr id="6" name="图片 6" descr="医师资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医师资格"/>
                    <pic:cNvPicPr>
                      <a:picLocks noChangeAspect="1"/>
                    </pic:cNvPicPr>
                  </pic:nvPicPr>
                  <pic:blipFill>
                    <a:blip r:embed="rId8" cstate="print"/>
                    <a:stretch>
                      <a:fillRect/>
                    </a:stretch>
                  </pic:blipFill>
                  <pic:spPr>
                    <a:xfrm>
                      <a:off x="0" y="0"/>
                      <a:ext cx="2457450" cy="2457450"/>
                    </a:xfrm>
                    <a:prstGeom prst="rect">
                      <a:avLst/>
                    </a:prstGeom>
                  </pic:spPr>
                </pic:pic>
              </a:graphicData>
            </a:graphic>
          </wp:inline>
        </w:drawing>
      </w:r>
    </w:p>
    <w:p>
      <w:pPr>
        <w:spacing w:line="360" w:lineRule="auto"/>
        <w:jc w:val="center"/>
        <w:rPr>
          <w:rFonts w:cs="微软雅黑" w:asciiTheme="minorEastAsia" w:hAnsiTheme="minorEastAsia"/>
          <w:color w:val="000000" w:themeColor="text1"/>
          <w:szCs w:val="21"/>
        </w:rPr>
      </w:pPr>
      <w:r>
        <w:rPr>
          <w:rFonts w:hint="eastAsia" w:cs="微软雅黑" w:asciiTheme="minorEastAsia" w:hAnsiTheme="minorEastAsia"/>
          <w:color w:val="000000" w:themeColor="text1"/>
          <w:szCs w:val="21"/>
        </w:rPr>
        <w:t>（</w:t>
      </w:r>
      <w:r>
        <w:rPr>
          <w:rFonts w:cs="微软雅黑" w:asciiTheme="minorEastAsia" w:hAnsiTheme="minorEastAsia"/>
          <w:color w:val="000000" w:themeColor="text1"/>
          <w:szCs w:val="21"/>
        </w:rPr>
        <w:t>yishi_med66</w:t>
      </w:r>
      <w:r>
        <w:rPr>
          <w:rFonts w:hint="eastAsia" w:cs="微软雅黑" w:asciiTheme="minorEastAsia" w:hAnsiTheme="minorEastAsia"/>
          <w:color w:val="000000" w:themeColor="text1"/>
          <w:szCs w:val="21"/>
        </w:rPr>
        <w:t>）</w:t>
      </w:r>
    </w:p>
    <w:p>
      <w:pPr>
        <w:spacing w:line="360" w:lineRule="auto"/>
        <w:jc w:val="center"/>
        <w:rPr>
          <w:rFonts w:cs="微软雅黑" w:asciiTheme="minorEastAsia" w:hAnsiTheme="minorEastAsia"/>
          <w:color w:val="000000" w:themeColor="text1"/>
          <w:szCs w:val="21"/>
        </w:rPr>
      </w:pPr>
      <w:r>
        <w:rPr>
          <w:rFonts w:hint="eastAsia" w:cs="微软雅黑" w:asciiTheme="minorEastAsia" w:hAnsiTheme="minorEastAsia"/>
          <w:color w:val="000000" w:themeColor="text1"/>
          <w:szCs w:val="21"/>
        </w:rPr>
        <w:drawing>
          <wp:inline distT="0" distB="0" distL="0" distR="0">
            <wp:extent cx="5274310" cy="1228725"/>
            <wp:effectExtent l="19050" t="0" r="2540" b="0"/>
            <wp:docPr id="3" name="图片 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10" cstate="print"/>
                    <a:srcRect/>
                    <a:stretch>
                      <a:fillRect/>
                    </a:stretch>
                  </pic:blipFill>
                  <pic:spPr>
                    <a:xfrm>
                      <a:off x="0" y="0"/>
                      <a:ext cx="5274310" cy="1228831"/>
                    </a:xfrm>
                    <a:prstGeom prst="rect">
                      <a:avLst/>
                    </a:prstGeom>
                    <a:noFill/>
                    <a:ln w="9525">
                      <a:noFill/>
                      <a:miter lim="800000"/>
                      <a:headEnd/>
                      <a:tailEnd/>
                    </a:ln>
                  </pic:spPr>
                </pic:pic>
              </a:graphicData>
            </a:graphic>
          </wp:inline>
        </w:drawing>
      </w:r>
    </w:p>
    <w:p>
      <w:pPr>
        <w:spacing w:line="360" w:lineRule="auto"/>
        <w:jc w:val="left"/>
        <w:rPr>
          <w:rFonts w:cs="微软雅黑" w:asciiTheme="minorEastAsia" w:hAnsiTheme="minorEastAsia"/>
          <w:color w:val="000000" w:themeColor="text1"/>
          <w:szCs w:val="21"/>
        </w:rPr>
      </w:pPr>
    </w:p>
    <w:sectPr>
      <w:headerReference r:id="rId5" w:type="first"/>
      <w:headerReference r:id="rId3" w:type="default"/>
      <w:footerReference r:id="rId6" w:type="default"/>
      <w:head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1980" w:firstLineChars="1100"/>
    </w:pPr>
    <w:r>
      <w:rPr>
        <w:rFonts w:hint="eastAsia"/>
      </w:rPr>
      <w:t xml:space="preserve">正保医学教育网医师资格微信公众号          </w:t>
    </w:r>
    <w:r>
      <w:t>yishi_med66</w:t>
    </w:r>
    <w:r>
      <w:rPr>
        <w:rFonts w:hint="eastAsia"/>
      </w:rPr>
      <w:t xml:space="preserve">           </w:t>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WordPictureWatermark4892673" o:spid="_x0000_s3075" o:spt="75" type="#_x0000_t75" style="position:absolute;left:0pt;height:1192.5pt;width:935.25pt;mso-position-horizontal:center;mso-position-horizontal-relative:margin;mso-position-vertical:center;mso-position-vertical-relative:margin;z-index:-251655168;mso-width-relative:page;mso-height-relative:page;" filled="f" o:preferrelative="t" stroked="f" coordsize="21600,21600" o:allowincell="f">
          <v:path/>
          <v:fill on="f" focussize="0,0"/>
          <v:stroke on="f" joinstyle="miter"/>
          <v:imagedata r:id="rId1" o:title="lALPGpqNanzobpHNDGzNCb4_2494_3180"/>
          <o:lock v:ext="edit" aspectratio="t"/>
        </v:shape>
      </w:pict>
    </w:r>
    <w: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11877675" cy="15145385"/>
          <wp:effectExtent l="0" t="0" r="9525" b="5715"/>
          <wp:wrapNone/>
          <wp:docPr id="2" name="WordPictureWatermark15261" descr="lALPGpqNanzobpHNDGzNCb4_2494_3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5261" descr="lALPGpqNanzobpHNDGzNCb4_2494_3180"/>
                  <pic:cNvPicPr>
                    <a:picLocks noChangeAspect="1"/>
                  </pic:cNvPicPr>
                </pic:nvPicPr>
                <pic:blipFill>
                  <a:blip r:embed="rId1"/>
                  <a:stretch>
                    <a:fillRect/>
                  </a:stretch>
                </pic:blipFill>
                <pic:spPr>
                  <a:xfrm>
                    <a:off x="0" y="0"/>
                    <a:ext cx="11877675" cy="15145385"/>
                  </a:xfrm>
                  <a:prstGeom prst="rect">
                    <a:avLst/>
                  </a:prstGeom>
                  <a:noFill/>
                  <a:ln>
                    <a:noFill/>
                  </a:ln>
                </pic:spPr>
              </pic:pic>
            </a:graphicData>
          </a:graphic>
        </wp:anchor>
      </w:drawing>
    </w:r>
    <w:r>
      <w:rPr>
        <w:rFonts w:ascii="宋体" w:hAnsi="宋体" w:eastAsia="宋体" w:cs="宋体"/>
        <w:sz w:val="24"/>
        <w:szCs w:val="24"/>
      </w:rPr>
      <w:drawing>
        <wp:inline distT="0" distB="0" distL="114300" distR="114300">
          <wp:extent cx="1590675" cy="419100"/>
          <wp:effectExtent l="0" t="0" r="9525"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2"/>
                  <a:stretch>
                    <a:fillRect/>
                  </a:stretch>
                </pic:blipFill>
                <pic:spPr>
                  <a:xfrm>
                    <a:off x="0" y="0"/>
                    <a:ext cx="1590675" cy="419100"/>
                  </a:xfrm>
                  <a:prstGeom prst="rect">
                    <a:avLst/>
                  </a:prstGeom>
                  <a:noFill/>
                  <a:ln w="9525">
                    <a:noFill/>
                  </a:ln>
                </pic:spPr>
              </pic:pic>
            </a:graphicData>
          </a:graphic>
        </wp:inline>
      </w:drawing>
    </w:r>
    <w:r>
      <w:rPr>
        <w:rFonts w:hint="eastAsia" w:ascii="宋体" w:hAnsi="宋体" w:eastAsia="宋体" w:cs="宋体"/>
        <w:b/>
        <w:bCs/>
        <w:color w:val="FF0000"/>
        <w:sz w:val="21"/>
        <w:szCs w:val="21"/>
      </w:rPr>
      <w:t xml:space="preserve">                            24小时客服热线：4006501888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WordPictureWatermark4892672" o:spid="_x0000_s3074" o:spt="75" type="#_x0000_t75" style="position:absolute;left:0pt;height:1192.5pt;width:935.2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o:title="lALPGpqNanzobpHNDGzNCb4_2494_3180"/>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WordPictureWatermark4892671" o:spid="_x0000_s3073" o:spt="75" type="#_x0000_t75" style="position:absolute;left:0pt;height:1192.5pt;width:935.2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o:title="lALPGpqNanzobpHNDGzNCb4_2494_3180"/>
          <o:lock v:ext="edit" aspectratio="t"/>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DC75E8"/>
    <w:rsid w:val="001367FF"/>
    <w:rsid w:val="001924C7"/>
    <w:rsid w:val="001A22D2"/>
    <w:rsid w:val="001B0939"/>
    <w:rsid w:val="002006E8"/>
    <w:rsid w:val="00205846"/>
    <w:rsid w:val="00225B77"/>
    <w:rsid w:val="00236F1D"/>
    <w:rsid w:val="002714DC"/>
    <w:rsid w:val="0028186E"/>
    <w:rsid w:val="00293871"/>
    <w:rsid w:val="002A0610"/>
    <w:rsid w:val="002A309C"/>
    <w:rsid w:val="003037F0"/>
    <w:rsid w:val="00330FA1"/>
    <w:rsid w:val="00343548"/>
    <w:rsid w:val="00344085"/>
    <w:rsid w:val="00367D67"/>
    <w:rsid w:val="00396556"/>
    <w:rsid w:val="0039797F"/>
    <w:rsid w:val="003C5897"/>
    <w:rsid w:val="003D3EF8"/>
    <w:rsid w:val="003E2162"/>
    <w:rsid w:val="00406648"/>
    <w:rsid w:val="00454CA4"/>
    <w:rsid w:val="004A4749"/>
    <w:rsid w:val="004A68F6"/>
    <w:rsid w:val="004C38C1"/>
    <w:rsid w:val="004D0738"/>
    <w:rsid w:val="0051373B"/>
    <w:rsid w:val="0052503C"/>
    <w:rsid w:val="00527144"/>
    <w:rsid w:val="00550C71"/>
    <w:rsid w:val="005E6442"/>
    <w:rsid w:val="00617412"/>
    <w:rsid w:val="00676177"/>
    <w:rsid w:val="00787871"/>
    <w:rsid w:val="007C108D"/>
    <w:rsid w:val="007D1B10"/>
    <w:rsid w:val="00823E11"/>
    <w:rsid w:val="0086431B"/>
    <w:rsid w:val="008960F6"/>
    <w:rsid w:val="00921CA8"/>
    <w:rsid w:val="00957A4E"/>
    <w:rsid w:val="00990D41"/>
    <w:rsid w:val="009F11DF"/>
    <w:rsid w:val="00A43D85"/>
    <w:rsid w:val="00B43FAD"/>
    <w:rsid w:val="00BA6208"/>
    <w:rsid w:val="00BD2E64"/>
    <w:rsid w:val="00BF503E"/>
    <w:rsid w:val="00C26B87"/>
    <w:rsid w:val="00C345C7"/>
    <w:rsid w:val="00C414E6"/>
    <w:rsid w:val="00CB7016"/>
    <w:rsid w:val="00CC51CF"/>
    <w:rsid w:val="00CF50D4"/>
    <w:rsid w:val="00D17EF5"/>
    <w:rsid w:val="00D60687"/>
    <w:rsid w:val="00DB23CD"/>
    <w:rsid w:val="00DC75E8"/>
    <w:rsid w:val="00DF16CC"/>
    <w:rsid w:val="00E73491"/>
    <w:rsid w:val="00ED4EBA"/>
    <w:rsid w:val="00F2683A"/>
    <w:rsid w:val="00F3091B"/>
    <w:rsid w:val="00FB5CCE"/>
    <w:rsid w:val="00FD60E6"/>
    <w:rsid w:val="03D6447A"/>
    <w:rsid w:val="04133751"/>
    <w:rsid w:val="04437B11"/>
    <w:rsid w:val="05F45301"/>
    <w:rsid w:val="06BA463C"/>
    <w:rsid w:val="07827D91"/>
    <w:rsid w:val="09160BE7"/>
    <w:rsid w:val="09F95C70"/>
    <w:rsid w:val="0A6249E1"/>
    <w:rsid w:val="0AB14781"/>
    <w:rsid w:val="0C6266EA"/>
    <w:rsid w:val="0CA71B19"/>
    <w:rsid w:val="0D634A18"/>
    <w:rsid w:val="0E6A070F"/>
    <w:rsid w:val="0E6F61F0"/>
    <w:rsid w:val="0EF30450"/>
    <w:rsid w:val="0FDF2463"/>
    <w:rsid w:val="11240754"/>
    <w:rsid w:val="118901F3"/>
    <w:rsid w:val="12CF21CE"/>
    <w:rsid w:val="14C57ADC"/>
    <w:rsid w:val="153366B6"/>
    <w:rsid w:val="161B51BB"/>
    <w:rsid w:val="16431EE3"/>
    <w:rsid w:val="16A90871"/>
    <w:rsid w:val="18BB02E2"/>
    <w:rsid w:val="1A485934"/>
    <w:rsid w:val="1BB10F94"/>
    <w:rsid w:val="1D885F93"/>
    <w:rsid w:val="1E6F37CF"/>
    <w:rsid w:val="21186058"/>
    <w:rsid w:val="214525D2"/>
    <w:rsid w:val="22876A4B"/>
    <w:rsid w:val="2485295C"/>
    <w:rsid w:val="24D77FD8"/>
    <w:rsid w:val="27691037"/>
    <w:rsid w:val="285040AB"/>
    <w:rsid w:val="2854075A"/>
    <w:rsid w:val="285A3AA3"/>
    <w:rsid w:val="2A146F67"/>
    <w:rsid w:val="2B2A254A"/>
    <w:rsid w:val="2FE7181A"/>
    <w:rsid w:val="31AC14C9"/>
    <w:rsid w:val="32776F2F"/>
    <w:rsid w:val="3294662A"/>
    <w:rsid w:val="35310A89"/>
    <w:rsid w:val="35903661"/>
    <w:rsid w:val="377D1BF5"/>
    <w:rsid w:val="380A417A"/>
    <w:rsid w:val="384B5DD7"/>
    <w:rsid w:val="393176A5"/>
    <w:rsid w:val="3A2C36FD"/>
    <w:rsid w:val="3AC03F9E"/>
    <w:rsid w:val="40876B2F"/>
    <w:rsid w:val="414E481C"/>
    <w:rsid w:val="42E03BBF"/>
    <w:rsid w:val="431B73D2"/>
    <w:rsid w:val="443560EB"/>
    <w:rsid w:val="46085FF2"/>
    <w:rsid w:val="461F1F35"/>
    <w:rsid w:val="46607AA1"/>
    <w:rsid w:val="48A90EE5"/>
    <w:rsid w:val="492D5A7D"/>
    <w:rsid w:val="4BC7476B"/>
    <w:rsid w:val="4CD5509B"/>
    <w:rsid w:val="4CE261F3"/>
    <w:rsid w:val="4EBA0969"/>
    <w:rsid w:val="507D57AD"/>
    <w:rsid w:val="54227F6B"/>
    <w:rsid w:val="542527FC"/>
    <w:rsid w:val="54302AE7"/>
    <w:rsid w:val="55B31AB5"/>
    <w:rsid w:val="57A80105"/>
    <w:rsid w:val="586C188E"/>
    <w:rsid w:val="61A3112A"/>
    <w:rsid w:val="62854EFA"/>
    <w:rsid w:val="63182942"/>
    <w:rsid w:val="63B1470D"/>
    <w:rsid w:val="63F93BCD"/>
    <w:rsid w:val="65057F94"/>
    <w:rsid w:val="66472335"/>
    <w:rsid w:val="6A6A4893"/>
    <w:rsid w:val="6AEA338B"/>
    <w:rsid w:val="6E0E4C53"/>
    <w:rsid w:val="77472B2D"/>
    <w:rsid w:val="77FD2C8C"/>
    <w:rsid w:val="7A44504D"/>
    <w:rsid w:val="7B072EE5"/>
    <w:rsid w:val="7B133798"/>
    <w:rsid w:val="7C016C1D"/>
    <w:rsid w:val="7E88266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alloon Text"/>
    <w:basedOn w:val="1"/>
    <w:link w:val="14"/>
    <w:semiHidden/>
    <w:unhideWhenUsed/>
    <w:qFormat/>
    <w:uiPriority w:val="99"/>
    <w:rPr>
      <w:sz w:val="18"/>
      <w:szCs w:val="18"/>
    </w:r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uiPriority w:val="5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tcPr>
      <w:tcBorders>
        <w:top w:val="single" w:color="000000" w:sz="4" w:space="0"/>
        <w:left w:val="single" w:color="000000" w:sz="4" w:space="0"/>
        <w:bottom w:val="single" w:color="000000" w:sz="4" w:space="0"/>
        <w:right w:val="single" w:color="000000" w:sz="4" w:space="0"/>
      </w:tcBorders>
    </w:tcPr>
  </w:style>
  <w:style w:type="character" w:styleId="9">
    <w:name w:val="Strong"/>
    <w:basedOn w:val="8"/>
    <w:qFormat/>
    <w:uiPriority w:val="22"/>
    <w:rPr>
      <w:b/>
    </w:rPr>
  </w:style>
  <w:style w:type="character" w:styleId="10">
    <w:name w:val="FollowedHyperlink"/>
    <w:basedOn w:val="8"/>
    <w:semiHidden/>
    <w:unhideWhenUsed/>
    <w:qFormat/>
    <w:uiPriority w:val="99"/>
    <w:rPr>
      <w:color w:val="800080" w:themeColor="followedHyperlink"/>
      <w:u w:val="single"/>
    </w:rPr>
  </w:style>
  <w:style w:type="character" w:styleId="11">
    <w:name w:val="Hyperlink"/>
    <w:basedOn w:val="8"/>
    <w:unhideWhenUsed/>
    <w:qFormat/>
    <w:uiPriority w:val="99"/>
    <w:rPr>
      <w:color w:val="0000FF"/>
      <w:u w:val="single"/>
    </w:rPr>
  </w:style>
  <w:style w:type="character" w:customStyle="1" w:styleId="12">
    <w:name w:val="页眉 Char"/>
    <w:basedOn w:val="8"/>
    <w:link w:val="4"/>
    <w:semiHidden/>
    <w:qFormat/>
    <w:uiPriority w:val="99"/>
    <w:rPr>
      <w:sz w:val="18"/>
      <w:szCs w:val="18"/>
    </w:rPr>
  </w:style>
  <w:style w:type="character" w:customStyle="1" w:styleId="13">
    <w:name w:val="页脚 Char"/>
    <w:basedOn w:val="8"/>
    <w:link w:val="3"/>
    <w:qFormat/>
    <w:uiPriority w:val="99"/>
    <w:rPr>
      <w:sz w:val="18"/>
      <w:szCs w:val="18"/>
    </w:rPr>
  </w:style>
  <w:style w:type="character" w:customStyle="1" w:styleId="14">
    <w:name w:val="批注框文本 Char"/>
    <w:basedOn w:val="8"/>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hyperlink" Target="https://www.med66.com/zhiyeyishikaoshi/2010linchuangyishifudao.htm" TargetMode="External"/><Relationship Id="rId8" Type="http://schemas.openxmlformats.org/officeDocument/2006/relationships/image" Target="media/image3.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5"/>
    <customShpInfo spid="_x0000_s3074"/>
    <customShpInfo spid="_x0000_s307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657473-4A9F-4D6E-B68A-02E96921FE69}">
  <ds:schemaRefs/>
</ds:datastoreItem>
</file>

<file path=docProps/app.xml><?xml version="1.0" encoding="utf-8"?>
<Properties xmlns="http://schemas.openxmlformats.org/officeDocument/2006/extended-properties" xmlns:vt="http://schemas.openxmlformats.org/officeDocument/2006/docPropsVTypes">
  <Template>Normal</Template>
  <Pages>15</Pages>
  <Words>812</Words>
  <Characters>4632</Characters>
  <Lines>38</Lines>
  <Paragraphs>10</Paragraphs>
  <TotalTime>3</TotalTime>
  <ScaleCrop>false</ScaleCrop>
  <LinksUpToDate>false</LinksUpToDate>
  <CharactersWithSpaces>5434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2020-10-30T02:43:00Z</dcterms:created>
  <dc:creator>dell</dc:creator>
  <cp:lastModifiedBy>dell</cp:lastModifiedBy>
  <dcterms:modified xsi:type="dcterms:W3CDTF">2020-12-10T04:02:37Z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