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0"/>
          <w:szCs w:val="30"/>
          <w:bdr w:val="none" w:color="auto" w:sz="0" w:space="0"/>
        </w:rPr>
        <w:t>报名时间</w:t>
      </w:r>
    </w:p>
    <w:tbl>
      <w:tblPr>
        <w:tblW w:w="917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66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4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场次</w:t>
            </w:r>
          </w:p>
        </w:tc>
        <w:tc>
          <w:tcPr>
            <w:tcW w:w="6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报名时间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4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武汉站</w:t>
            </w:r>
          </w:p>
        </w:tc>
        <w:tc>
          <w:tcPr>
            <w:tcW w:w="6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10月26日至10月30日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24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南充站</w:t>
            </w:r>
          </w:p>
        </w:tc>
        <w:tc>
          <w:tcPr>
            <w:tcW w:w="6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10月26日至11月1日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4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泸州站</w:t>
            </w:r>
          </w:p>
        </w:tc>
        <w:tc>
          <w:tcPr>
            <w:tcW w:w="6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9" w:lineRule="atLeast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10月26日至11月1日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40360"/>
    <w:rsid w:val="68F403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2020-10-22T07:35:00Z</dcterms:created>
  <dc:creator>ASUS</dc:creator>
  <cp:lastModifiedBy>ASUS</cp:lastModifiedBy>
  <dcterms:modified xsi:type="dcterms:W3CDTF">2020-10-22T07:35:57Z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