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015" w:type="dxa"/>
        <w:tblInd w:w="-38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690"/>
        <w:gridCol w:w="1260"/>
        <w:gridCol w:w="600"/>
        <w:gridCol w:w="525"/>
        <w:gridCol w:w="4005"/>
        <w:gridCol w:w="525"/>
        <w:gridCol w:w="1200"/>
        <w:gridCol w:w="543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7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50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绵阳科创区2020年考核招聘医疗卫生专业技术人员岗位和条件一览表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岗位需求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具体要求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名额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药房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年10月1日至2002年10月1日期间出生，副高职称可放宽到19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专科、本科：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临床药学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研究生：医学门类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全日制普通高等教育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主管药师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执业药师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具有3年及以上医疗机构药房工作经验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，执业资格满足其中一项即可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公卫科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专科、本科：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预防医学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、公共卫生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研究生：医学门类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全科医生转岗培训合格证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的不限专业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具有1年及以上基层医疗卫生机构公卫科慢病管理工作经验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老年人管理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具有1年及以上基层医疗卫生机构公卫科老年人管理工作经验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健康档案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具有1年及以上基层医疗卫生机构公卫科健康档案管理工作经验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咨询室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1、具有1年及以上基层医疗卫生机构公卫科工作经验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2、从事过重性精神病管理工作的优先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专科、本科：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、儿科学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研究生：医学门类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全科医生转岗培训合格证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的不限专业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具有1年及以上基层医疗卫生机构公卫科儿童保健工作经验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预防接种室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具有1年及以上医疗卫生机构公卫科预防接种工作经验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针灸理疗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专科、本科：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研究生：医学门类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具有3年及以上医疗机构针灸理疗工作经验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放射室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专科、本科：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研究生：医学门类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注册为“医学影像和放射治疗专业”的执业（助理）医师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1、具有3年及以上放射工作经验，熟练掌握DR操作及阅片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2、熟悉B超、彩超及心电图工作的优先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超声室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1、具有3年及以上超声工作经验，熟练掌握B超、彩超、心电图操作及出具临床报告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2、熟悉DR操作及阅片的优先</w:t>
            </w:r>
          </w:p>
        </w:tc>
      </w:tr>
    </w:tbl>
    <w:p>
      <w:bookmarkStart w:id="0" w:name="_GoBack"/>
    </w:p>
    <w:bookmarkEnd w:id="0"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056B5"/>
    <w:rsid w:val="291056B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2020-10-09T03:07:00Z</dcterms:created>
  <dc:creator>jp</dc:creator>
  <cp:lastModifiedBy>jp</cp:lastModifiedBy>
  <dcterms:modified xsi:type="dcterms:W3CDTF">2020-10-09T03:10:02Z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