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Cs w:val="21"/>
        </w:rPr>
      </w:pPr>
      <w:r>
        <w:rPr>
          <w:rFonts w:hint="eastAsia" w:ascii="宋体" w:hAnsi="宋体"/>
          <w:bCs/>
          <w:szCs w:val="21"/>
        </w:rPr>
        <w:t>执业药师</w:t>
      </w:r>
    </w:p>
    <w:p>
      <w:pPr>
        <w:jc w:val="center"/>
        <w:rPr>
          <w:rFonts w:ascii="宋体" w:hAnsi="宋体"/>
          <w:szCs w:val="21"/>
        </w:rPr>
      </w:pPr>
      <w:r>
        <w:rPr>
          <w:rFonts w:hint="eastAsia" w:ascii="宋体" w:hAnsi="宋体"/>
          <w:bCs/>
          <w:szCs w:val="21"/>
        </w:rPr>
        <w:t>《药事管理与法规》</w:t>
      </w:r>
    </w:p>
    <w:p>
      <w:pPr>
        <w:jc w:val="center"/>
        <w:rPr>
          <w:rFonts w:ascii="宋体" w:hAnsi="宋体"/>
          <w:szCs w:val="21"/>
        </w:rPr>
      </w:pPr>
      <w:r>
        <w:rPr>
          <w:rFonts w:hint="eastAsia" w:ascii="宋体" w:hAnsi="宋体"/>
          <w:bCs/>
          <w:szCs w:val="21"/>
        </w:rPr>
        <w:t>刷题1（1~2章）</w:t>
      </w:r>
    </w:p>
    <w:p>
      <w:pPr>
        <w:jc w:val="center"/>
        <w:rPr>
          <w:rFonts w:ascii="宋体" w:hAnsi="宋体"/>
          <w:szCs w:val="21"/>
        </w:rPr>
      </w:pPr>
      <w:r>
        <w:rPr>
          <w:rFonts w:hint="eastAsia" w:ascii="宋体" w:hAnsi="宋体"/>
          <w:bCs/>
          <w:szCs w:val="21"/>
        </w:rPr>
        <w:t>主讲：周青</w:t>
      </w:r>
    </w:p>
    <w:tbl>
      <w:tblPr>
        <w:tblStyle w:val="7"/>
        <w:tblW w:w="82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362"/>
        <w:gridCol w:w="4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 w:hRule="atLeast"/>
        </w:trPr>
        <w:tc>
          <w:tcPr>
            <w:tcW w:w="3362"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bCs/>
                <w:szCs w:val="21"/>
              </w:rPr>
              <w:t xml:space="preserve">课程 </w:t>
            </w:r>
          </w:p>
        </w:tc>
        <w:tc>
          <w:tcPr>
            <w:tcW w:w="4913"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bCs/>
                <w:szCs w:val="21"/>
              </w:rPr>
              <w:t xml:space="preserve">内容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6" w:hRule="atLeast"/>
        </w:trPr>
        <w:tc>
          <w:tcPr>
            <w:tcW w:w="3362" w:type="dxa"/>
            <w:shd w:val="clear" w:color="auto" w:fill="auto"/>
            <w:noWrap w:val="0"/>
            <w:tcMar>
              <w:top w:w="72" w:type="dxa"/>
              <w:left w:w="144" w:type="dxa"/>
              <w:bottom w:w="72" w:type="dxa"/>
              <w:right w:w="144" w:type="dxa"/>
            </w:tcMar>
            <w:vAlign w:val="top"/>
          </w:tcPr>
          <w:p>
            <w:pPr>
              <w:rPr>
                <w:rFonts w:ascii="宋体" w:hAnsi="宋体"/>
                <w:b/>
                <w:color w:val="FF0000"/>
                <w:szCs w:val="21"/>
                <w:u w:val="single"/>
              </w:rPr>
            </w:pPr>
            <w:r>
              <w:rPr>
                <w:rFonts w:hint="eastAsia" w:ascii="宋体" w:hAnsi="宋体"/>
                <w:b/>
                <w:color w:val="FF0000"/>
                <w:szCs w:val="21"/>
                <w:u w:val="single"/>
              </w:rPr>
              <w:t xml:space="preserve">刷题1 </w:t>
            </w:r>
          </w:p>
        </w:tc>
        <w:tc>
          <w:tcPr>
            <w:tcW w:w="4913" w:type="dxa"/>
            <w:shd w:val="clear" w:color="auto" w:fill="auto"/>
            <w:noWrap w:val="0"/>
            <w:tcMar>
              <w:top w:w="72" w:type="dxa"/>
              <w:left w:w="144" w:type="dxa"/>
              <w:bottom w:w="72" w:type="dxa"/>
              <w:right w:w="144" w:type="dxa"/>
            </w:tcMar>
            <w:vAlign w:val="top"/>
          </w:tcPr>
          <w:p>
            <w:pPr>
              <w:rPr>
                <w:rFonts w:ascii="宋体" w:hAnsi="宋体"/>
                <w:b/>
                <w:color w:val="FF0000"/>
                <w:szCs w:val="21"/>
                <w:u w:val="single"/>
              </w:rPr>
            </w:pPr>
            <w:r>
              <w:rPr>
                <w:rFonts w:hint="eastAsia" w:ascii="宋体" w:hAnsi="宋体"/>
                <w:b/>
                <w:color w:val="FF0000"/>
                <w:szCs w:val="21"/>
                <w:u w:val="single"/>
              </w:rPr>
              <w:t xml:space="preserve">第一章+第二章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 w:hRule="atLeast"/>
        </w:trPr>
        <w:tc>
          <w:tcPr>
            <w:tcW w:w="3362"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刷题2 </w:t>
            </w:r>
          </w:p>
        </w:tc>
        <w:tc>
          <w:tcPr>
            <w:tcW w:w="4913"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第三章+第四章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 w:hRule="atLeast"/>
        </w:trPr>
        <w:tc>
          <w:tcPr>
            <w:tcW w:w="3362"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刷题3 </w:t>
            </w:r>
          </w:p>
        </w:tc>
        <w:tc>
          <w:tcPr>
            <w:tcW w:w="4913"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第五章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 w:hRule="atLeast"/>
        </w:trPr>
        <w:tc>
          <w:tcPr>
            <w:tcW w:w="3362"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刷题4 </w:t>
            </w:r>
          </w:p>
        </w:tc>
        <w:tc>
          <w:tcPr>
            <w:tcW w:w="4913"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第六章+第七章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 w:hRule="atLeast"/>
        </w:trPr>
        <w:tc>
          <w:tcPr>
            <w:tcW w:w="3362"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刷题5 </w:t>
            </w:r>
          </w:p>
        </w:tc>
        <w:tc>
          <w:tcPr>
            <w:tcW w:w="4913"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第八章+第九章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 w:hRule="atLeast"/>
        </w:trPr>
        <w:tc>
          <w:tcPr>
            <w:tcW w:w="3362"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刷题6 </w:t>
            </w:r>
          </w:p>
        </w:tc>
        <w:tc>
          <w:tcPr>
            <w:tcW w:w="4913"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第十章+总结 </w:t>
            </w:r>
          </w:p>
        </w:tc>
      </w:tr>
    </w:tbl>
    <w:p>
      <w:pPr>
        <w:rPr>
          <w:rFonts w:ascii="宋体" w:hAnsi="宋体"/>
          <w:b/>
          <w:color w:val="FF0000"/>
          <w:szCs w:val="21"/>
          <w:u w:val="single"/>
        </w:rPr>
      </w:pPr>
      <w:r>
        <w:rPr>
          <w:rFonts w:ascii="宋体" w:hAnsi="宋体"/>
          <w:b/>
          <w:color w:val="FF0000"/>
          <w:szCs w:val="21"/>
          <w:u w:val="single"/>
        </w:rPr>
        <w:t xml:space="preserve">最佳选择题 </w:t>
      </w:r>
    </w:p>
    <w:p>
      <w:pPr>
        <w:rPr>
          <w:rFonts w:ascii="宋体" w:hAnsi="宋体"/>
          <w:szCs w:val="21"/>
        </w:rPr>
      </w:pPr>
      <w:r>
        <w:rPr>
          <w:rFonts w:ascii="宋体" w:hAnsi="宋体"/>
          <w:szCs w:val="21"/>
        </w:rPr>
        <w:t>1.以下关于健康中国的战略主题、原则和目标，说法错误的是</w:t>
      </w:r>
    </w:p>
    <w:p>
      <w:pPr>
        <w:rPr>
          <w:rFonts w:ascii="宋体" w:hAnsi="宋体"/>
          <w:szCs w:val="21"/>
        </w:rPr>
      </w:pPr>
      <w:r>
        <w:rPr>
          <w:rFonts w:ascii="宋体" w:hAnsi="宋体"/>
          <w:szCs w:val="21"/>
        </w:rPr>
        <w:t>A.“共建共享、全民健康”，是建设健康中国的战略主题</w:t>
      </w:r>
    </w:p>
    <w:p>
      <w:pPr>
        <w:rPr>
          <w:rFonts w:ascii="宋体" w:hAnsi="宋体"/>
          <w:szCs w:val="21"/>
        </w:rPr>
      </w:pPr>
      <w:r>
        <w:rPr>
          <w:rFonts w:ascii="宋体" w:hAnsi="宋体"/>
          <w:szCs w:val="21"/>
        </w:rPr>
        <w:t>B.核心是以人民健康为中心，坚持以基层为重点，以改革创新为动力</w:t>
      </w:r>
      <w:bookmarkStart w:id="0" w:name="_GoBack"/>
      <w:bookmarkEnd w:id="0"/>
      <w:r>
        <w:rPr>
          <w:rFonts w:ascii="宋体" w:hAnsi="宋体"/>
          <w:szCs w:val="21"/>
        </w:rPr>
        <w:t>，预防为主，中西医并重，把健康融入所有政策</w:t>
      </w:r>
    </w:p>
    <w:p>
      <w:pPr>
        <w:rPr>
          <w:rFonts w:ascii="宋体" w:hAnsi="宋体"/>
          <w:szCs w:val="21"/>
        </w:rPr>
      </w:pPr>
      <w:r>
        <w:rPr>
          <w:rFonts w:ascii="宋体" w:hAnsi="宋体"/>
          <w:szCs w:val="21"/>
        </w:rPr>
        <w:t>C.到2030年， 健康产业繁荣发展，基本实现健康公平，主要健康指标进入中高收入国家行列</w:t>
      </w:r>
    </w:p>
    <w:p>
      <w:pPr>
        <w:rPr>
          <w:rFonts w:ascii="宋体" w:hAnsi="宋体"/>
          <w:szCs w:val="21"/>
        </w:rPr>
      </w:pPr>
      <w:r>
        <w:rPr>
          <w:rFonts w:ascii="宋体" w:hAnsi="宋体"/>
          <w:szCs w:val="21"/>
        </w:rPr>
        <w:t xml:space="preserve">D.共建共享是建设健康中国的基本路径，全民健康是建设健康中国的根本目的 </w:t>
      </w:r>
    </w:p>
    <w:p>
      <w:pPr>
        <w:rPr>
          <w:rFonts w:ascii="宋体" w:hAnsi="宋体"/>
          <w:szCs w:val="21"/>
        </w:rPr>
      </w:pPr>
    </w:p>
    <w:p>
      <w:pPr>
        <w:rPr>
          <w:rFonts w:ascii="宋体" w:hAnsi="宋体"/>
          <w:szCs w:val="21"/>
        </w:rPr>
      </w:pPr>
      <w:r>
        <w:rPr>
          <w:rFonts w:ascii="宋体" w:hAnsi="宋体"/>
          <w:szCs w:val="21"/>
        </w:rPr>
        <w:t>2.根据《关于完善基本保险定点医药机构协议管理的指导意见》，我国对基本医疗保险定点医药机构协议管理的基本思路是</w:t>
      </w:r>
    </w:p>
    <w:p>
      <w:pPr>
        <w:rPr>
          <w:rFonts w:ascii="宋体" w:hAnsi="宋体"/>
          <w:szCs w:val="21"/>
        </w:rPr>
      </w:pPr>
      <w:r>
        <w:rPr>
          <w:rFonts w:ascii="宋体" w:hAnsi="宋体"/>
          <w:szCs w:val="21"/>
        </w:rPr>
        <w:t>A.取消与社会保险经办机构签订服务协议的要求，加强基本医疗保险疗机构和定点零售药店的资格审查和前置审批</w:t>
      </w:r>
    </w:p>
    <w:p>
      <w:pPr>
        <w:rPr>
          <w:rFonts w:ascii="宋体" w:hAnsi="宋体"/>
          <w:szCs w:val="21"/>
        </w:rPr>
      </w:pPr>
      <w:r>
        <w:rPr>
          <w:rFonts w:ascii="宋体" w:hAnsi="宋体"/>
          <w:szCs w:val="21"/>
        </w:rPr>
        <w:t>B.取消基本医疗保险定点医疗机构和定点零售药店的资格审查和签订定点服务协议的程序要求，社保行政不再进行干预</w:t>
      </w:r>
    </w:p>
    <w:p>
      <w:pPr>
        <w:rPr>
          <w:rFonts w:ascii="宋体" w:hAnsi="宋体"/>
          <w:szCs w:val="21"/>
        </w:rPr>
      </w:pPr>
      <w:r>
        <w:rPr>
          <w:rFonts w:ascii="宋体" w:hAnsi="宋体"/>
          <w:szCs w:val="21"/>
        </w:rPr>
        <w:t>C.严格基本医疗保险定点医疗机构和定点零售药店的资格审查条件，完善社会保险经办机构与符合条件的医药机构签协议的程序</w:t>
      </w:r>
    </w:p>
    <w:p>
      <w:pPr>
        <w:rPr>
          <w:rFonts w:ascii="宋体" w:hAnsi="宋体"/>
          <w:szCs w:val="21"/>
        </w:rPr>
      </w:pPr>
      <w:r>
        <w:rPr>
          <w:rFonts w:ascii="宋体" w:hAnsi="宋体"/>
          <w:szCs w:val="21"/>
        </w:rPr>
        <w:t xml:space="preserve">D.取消基本医疗保险定点医疗机构和定点零售药店的资格审查程序，完善社会保险经办机构与符合条件的医药机构签订服务协议的程序 </w:t>
      </w:r>
    </w:p>
    <w:p>
      <w:pPr>
        <w:rPr>
          <w:rFonts w:ascii="宋体" w:hAnsi="宋体"/>
          <w:szCs w:val="21"/>
        </w:rPr>
      </w:pPr>
    </w:p>
    <w:p>
      <w:pPr>
        <w:rPr>
          <w:rFonts w:ascii="宋体" w:hAnsi="宋体"/>
          <w:szCs w:val="21"/>
        </w:rPr>
      </w:pPr>
      <w:r>
        <w:rPr>
          <w:rFonts w:ascii="宋体" w:hAnsi="宋体"/>
          <w:szCs w:val="21"/>
        </w:rPr>
        <w:t>3.关于推进健康中国建设需遵循原则的说法，错误的是</w:t>
      </w:r>
    </w:p>
    <w:p>
      <w:pPr>
        <w:rPr>
          <w:rFonts w:ascii="宋体" w:hAnsi="宋体"/>
          <w:szCs w:val="21"/>
        </w:rPr>
      </w:pPr>
      <w:r>
        <w:rPr>
          <w:rFonts w:ascii="宋体" w:hAnsi="宋体"/>
          <w:szCs w:val="21"/>
        </w:rPr>
        <w:t>A.健康优先原则包括“把健康摆在优先发展的战略地位，立足国情，将促进健康的理念融入公共政策制定实施的全过程”</w:t>
      </w:r>
    </w:p>
    <w:p>
      <w:pPr>
        <w:rPr>
          <w:rFonts w:ascii="宋体" w:hAnsi="宋体"/>
          <w:szCs w:val="21"/>
        </w:rPr>
      </w:pPr>
      <w:r>
        <w:rPr>
          <w:rFonts w:ascii="宋体" w:hAnsi="宋体"/>
          <w:szCs w:val="21"/>
        </w:rPr>
        <w:t>B.改革创新原则包括“坚持市场主导，发挥政府机制作用，加快关键环节改革步伐，形成具有中国特色、促进全民健康的制度体系”</w:t>
      </w:r>
    </w:p>
    <w:p>
      <w:pPr>
        <w:rPr>
          <w:rFonts w:ascii="宋体" w:hAnsi="宋体"/>
          <w:szCs w:val="21"/>
        </w:rPr>
      </w:pPr>
      <w:r>
        <w:rPr>
          <w:rFonts w:ascii="宋体" w:hAnsi="宋体"/>
          <w:szCs w:val="21"/>
        </w:rPr>
        <w:t>C.科学发展原则包括“把握健康领域发展规律， 坚持预防为主、防治结合、中西医并重，转变服务模式，构建整合型医疗卫生服务体系”</w:t>
      </w:r>
    </w:p>
    <w:p>
      <w:pPr>
        <w:rPr>
          <w:rFonts w:ascii="宋体" w:hAnsi="宋体"/>
          <w:szCs w:val="21"/>
        </w:rPr>
      </w:pPr>
      <w:r>
        <w:rPr>
          <w:rFonts w:ascii="宋体" w:hAnsi="宋体"/>
          <w:szCs w:val="21"/>
        </w:rPr>
        <w:t xml:space="preserve">D.公平公正原则包括“以农村和基层为重点，推动健康领域基本公共服务均等化，维护基本医疗卫生服务的公益性，逐步缩小城乡、地区、人群间基本健康服务和健康水平的差异” </w:t>
      </w:r>
    </w:p>
    <w:tbl>
      <w:tblPr>
        <w:tblStyle w:val="7"/>
        <w:tblW w:w="8415" w:type="dxa"/>
        <w:tblInd w:w="0" w:type="dxa"/>
        <w:tblLayout w:type="fixed"/>
        <w:tblCellMar>
          <w:top w:w="0" w:type="dxa"/>
          <w:left w:w="0" w:type="dxa"/>
          <w:bottom w:w="0" w:type="dxa"/>
          <w:right w:w="0" w:type="dxa"/>
        </w:tblCellMar>
      </w:tblPr>
      <w:tblGrid>
        <w:gridCol w:w="800"/>
        <w:gridCol w:w="7615"/>
      </w:tblGrid>
      <w:tr>
        <w:tblPrEx>
          <w:tblCellMar>
            <w:top w:w="0" w:type="dxa"/>
            <w:left w:w="0" w:type="dxa"/>
            <w:bottom w:w="0" w:type="dxa"/>
            <w:right w:w="0" w:type="dxa"/>
          </w:tblCellMar>
        </w:tblPrEx>
        <w:trPr>
          <w:trHeight w:val="295" w:hRule="atLeast"/>
        </w:trPr>
        <w:tc>
          <w:tcPr>
            <w:tcW w:w="800" w:type="dxa"/>
            <w:tcBorders>
              <w:top w:val="single" w:color="000000" w:sz="8" w:space="0"/>
              <w:left w:val="single" w:color="000000" w:sz="8" w:space="0"/>
              <w:bottom w:val="single" w:color="000000" w:sz="8" w:space="0"/>
              <w:right w:val="single" w:color="000000" w:sz="8" w:space="0"/>
            </w:tcBorders>
            <w:shd w:val="clear" w:color="auto" w:fill="auto"/>
            <w:noWrap w:val="0"/>
            <w:tcMar>
              <w:top w:w="15" w:type="dxa"/>
              <w:left w:w="107" w:type="dxa"/>
              <w:bottom w:w="0" w:type="dxa"/>
              <w:right w:w="107" w:type="dxa"/>
            </w:tcMar>
            <w:vAlign w:val="center"/>
          </w:tcPr>
          <w:p>
            <w:pPr>
              <w:rPr>
                <w:rFonts w:hint="eastAsia" w:ascii="宋体" w:hAnsi="宋体"/>
                <w:b/>
                <w:color w:val="FF0000"/>
                <w:szCs w:val="21"/>
                <w:u w:val="single"/>
              </w:rPr>
            </w:pPr>
          </w:p>
          <w:p>
            <w:pPr>
              <w:rPr>
                <w:rFonts w:ascii="宋体" w:hAnsi="宋体"/>
                <w:b/>
                <w:color w:val="FF0000"/>
                <w:szCs w:val="21"/>
                <w:u w:val="single"/>
              </w:rPr>
            </w:pPr>
            <w:r>
              <w:rPr>
                <w:rFonts w:hint="eastAsia" w:ascii="宋体" w:hAnsi="宋体"/>
                <w:b/>
                <w:color w:val="FF0000"/>
                <w:szCs w:val="21"/>
                <w:u w:val="single"/>
              </w:rPr>
              <w:t xml:space="preserve">健康 </w:t>
            </w:r>
          </w:p>
          <w:p>
            <w:pPr>
              <w:rPr>
                <w:rFonts w:ascii="宋体" w:hAnsi="宋体"/>
                <w:szCs w:val="21"/>
              </w:rPr>
            </w:pPr>
            <w:r>
              <w:rPr>
                <w:rFonts w:hint="eastAsia" w:ascii="宋体" w:hAnsi="宋体"/>
                <w:b/>
                <w:color w:val="FF0000"/>
                <w:szCs w:val="21"/>
                <w:u w:val="single"/>
              </w:rPr>
              <w:t xml:space="preserve">优先 </w:t>
            </w:r>
          </w:p>
        </w:tc>
        <w:tc>
          <w:tcPr>
            <w:tcW w:w="7615" w:type="dxa"/>
            <w:tcBorders>
              <w:top w:val="single" w:color="000000" w:sz="8" w:space="0"/>
              <w:left w:val="single" w:color="000000" w:sz="8" w:space="0"/>
              <w:bottom w:val="single" w:color="000000" w:sz="8" w:space="0"/>
              <w:right w:val="single" w:color="000000" w:sz="8" w:space="0"/>
            </w:tcBorders>
            <w:shd w:val="clear" w:color="auto" w:fill="auto"/>
            <w:noWrap w:val="0"/>
            <w:tcMar>
              <w:top w:w="15" w:type="dxa"/>
              <w:left w:w="107" w:type="dxa"/>
              <w:bottom w:w="0" w:type="dxa"/>
              <w:right w:w="107" w:type="dxa"/>
            </w:tcMar>
            <w:vAlign w:val="center"/>
          </w:tcPr>
          <w:p>
            <w:pPr>
              <w:rPr>
                <w:rFonts w:ascii="宋体" w:hAnsi="宋体"/>
                <w:szCs w:val="21"/>
              </w:rPr>
            </w:pPr>
            <w:r>
              <w:rPr>
                <w:rFonts w:hint="eastAsia" w:ascii="宋体" w:hAnsi="宋体"/>
                <w:szCs w:val="21"/>
              </w:rPr>
              <w:t xml:space="preserve">把健康摆在优先发展的战略地位，将促进健康的理念融入公共政策制定实施的全过程，实现健康与经济社会良性协调发展 </w:t>
            </w:r>
          </w:p>
        </w:tc>
      </w:tr>
      <w:tr>
        <w:tblPrEx>
          <w:tblCellMar>
            <w:top w:w="0" w:type="dxa"/>
            <w:left w:w="0" w:type="dxa"/>
            <w:bottom w:w="0" w:type="dxa"/>
            <w:right w:w="0" w:type="dxa"/>
          </w:tblCellMar>
        </w:tblPrEx>
        <w:trPr>
          <w:trHeight w:val="194" w:hRule="atLeast"/>
        </w:trPr>
        <w:tc>
          <w:tcPr>
            <w:tcW w:w="800" w:type="dxa"/>
            <w:tcBorders>
              <w:top w:val="single" w:color="000000" w:sz="8" w:space="0"/>
              <w:left w:val="single" w:color="000000" w:sz="8" w:space="0"/>
              <w:bottom w:val="single" w:color="000000" w:sz="8" w:space="0"/>
              <w:right w:val="single" w:color="000000" w:sz="8" w:space="0"/>
            </w:tcBorders>
            <w:shd w:val="clear" w:color="auto" w:fill="auto"/>
            <w:noWrap w:val="0"/>
            <w:tcMar>
              <w:top w:w="15" w:type="dxa"/>
              <w:left w:w="107" w:type="dxa"/>
              <w:bottom w:w="0" w:type="dxa"/>
              <w:right w:w="107" w:type="dxa"/>
            </w:tcMar>
            <w:vAlign w:val="center"/>
          </w:tcPr>
          <w:p>
            <w:pPr>
              <w:rPr>
                <w:rFonts w:ascii="宋体" w:hAnsi="宋体"/>
                <w:szCs w:val="21"/>
              </w:rPr>
            </w:pPr>
            <w:r>
              <w:rPr>
                <w:rFonts w:hint="eastAsia" w:ascii="宋体" w:hAnsi="宋体"/>
                <w:szCs w:val="21"/>
              </w:rPr>
              <w:t xml:space="preserve">改革 </w:t>
            </w:r>
          </w:p>
          <w:p>
            <w:pPr>
              <w:rPr>
                <w:rFonts w:ascii="宋体" w:hAnsi="宋体"/>
                <w:szCs w:val="21"/>
              </w:rPr>
            </w:pPr>
            <w:r>
              <w:rPr>
                <w:rFonts w:hint="eastAsia" w:ascii="宋体" w:hAnsi="宋体"/>
                <w:szCs w:val="21"/>
              </w:rPr>
              <w:t xml:space="preserve">创新 </w:t>
            </w:r>
          </w:p>
        </w:tc>
        <w:tc>
          <w:tcPr>
            <w:tcW w:w="7615" w:type="dxa"/>
            <w:tcBorders>
              <w:top w:val="single" w:color="000000" w:sz="8" w:space="0"/>
              <w:left w:val="single" w:color="000000" w:sz="8" w:space="0"/>
              <w:bottom w:val="single" w:color="000000" w:sz="8" w:space="0"/>
              <w:right w:val="single" w:color="000000" w:sz="8" w:space="0"/>
            </w:tcBorders>
            <w:shd w:val="clear" w:color="auto" w:fill="auto"/>
            <w:noWrap w:val="0"/>
            <w:tcMar>
              <w:top w:w="15" w:type="dxa"/>
              <w:left w:w="107" w:type="dxa"/>
              <w:bottom w:w="0" w:type="dxa"/>
              <w:right w:w="107" w:type="dxa"/>
            </w:tcMar>
            <w:vAlign w:val="center"/>
          </w:tcPr>
          <w:p>
            <w:pPr>
              <w:rPr>
                <w:rFonts w:ascii="宋体" w:hAnsi="宋体"/>
                <w:szCs w:val="21"/>
              </w:rPr>
            </w:pPr>
            <w:r>
              <w:rPr>
                <w:rFonts w:hint="eastAsia" w:ascii="宋体" w:hAnsi="宋体"/>
                <w:b/>
                <w:color w:val="FF0000"/>
                <w:szCs w:val="21"/>
                <w:u w:val="single"/>
              </w:rPr>
              <w:t>坚持政府主导</w:t>
            </w:r>
            <w:r>
              <w:rPr>
                <w:rFonts w:hint="eastAsia" w:ascii="宋体" w:hAnsi="宋体"/>
                <w:szCs w:val="21"/>
              </w:rPr>
              <w:t xml:space="preserve">，发挥市场机制作用，加快关键环节改革步伐，促进全民健康的制度体系 </w:t>
            </w:r>
          </w:p>
        </w:tc>
      </w:tr>
      <w:tr>
        <w:tblPrEx>
          <w:tblCellMar>
            <w:top w:w="0" w:type="dxa"/>
            <w:left w:w="0" w:type="dxa"/>
            <w:bottom w:w="0" w:type="dxa"/>
            <w:right w:w="0" w:type="dxa"/>
          </w:tblCellMar>
        </w:tblPrEx>
        <w:trPr>
          <w:trHeight w:val="295" w:hRule="atLeast"/>
        </w:trPr>
        <w:tc>
          <w:tcPr>
            <w:tcW w:w="800" w:type="dxa"/>
            <w:tcBorders>
              <w:top w:val="single" w:color="000000" w:sz="8" w:space="0"/>
              <w:left w:val="single" w:color="000000" w:sz="8" w:space="0"/>
              <w:bottom w:val="single" w:color="000000" w:sz="8" w:space="0"/>
              <w:right w:val="single" w:color="000000" w:sz="8" w:space="0"/>
            </w:tcBorders>
            <w:shd w:val="clear" w:color="auto" w:fill="auto"/>
            <w:noWrap w:val="0"/>
            <w:tcMar>
              <w:top w:w="15" w:type="dxa"/>
              <w:left w:w="107" w:type="dxa"/>
              <w:bottom w:w="0" w:type="dxa"/>
              <w:right w:w="107" w:type="dxa"/>
            </w:tcMar>
            <w:vAlign w:val="center"/>
          </w:tcPr>
          <w:p>
            <w:pPr>
              <w:rPr>
                <w:rFonts w:ascii="宋体" w:hAnsi="宋体"/>
                <w:szCs w:val="21"/>
              </w:rPr>
            </w:pPr>
            <w:r>
              <w:rPr>
                <w:rFonts w:hint="eastAsia" w:ascii="宋体" w:hAnsi="宋体"/>
                <w:szCs w:val="21"/>
              </w:rPr>
              <w:t xml:space="preserve">科学 </w:t>
            </w:r>
          </w:p>
          <w:p>
            <w:pPr>
              <w:rPr>
                <w:rFonts w:ascii="宋体" w:hAnsi="宋体"/>
                <w:szCs w:val="21"/>
              </w:rPr>
            </w:pPr>
            <w:r>
              <w:rPr>
                <w:rFonts w:hint="eastAsia" w:ascii="宋体" w:hAnsi="宋体"/>
                <w:szCs w:val="21"/>
              </w:rPr>
              <w:t xml:space="preserve">发展 </w:t>
            </w:r>
          </w:p>
        </w:tc>
        <w:tc>
          <w:tcPr>
            <w:tcW w:w="7615" w:type="dxa"/>
            <w:tcBorders>
              <w:top w:val="single" w:color="000000" w:sz="8" w:space="0"/>
              <w:left w:val="single" w:color="000000" w:sz="8" w:space="0"/>
              <w:bottom w:val="single" w:color="000000" w:sz="8" w:space="0"/>
              <w:right w:val="single" w:color="000000" w:sz="8" w:space="0"/>
            </w:tcBorders>
            <w:shd w:val="clear" w:color="auto" w:fill="auto"/>
            <w:noWrap w:val="0"/>
            <w:tcMar>
              <w:top w:w="15" w:type="dxa"/>
              <w:left w:w="107" w:type="dxa"/>
              <w:bottom w:w="0" w:type="dxa"/>
              <w:right w:w="107" w:type="dxa"/>
            </w:tcMar>
            <w:vAlign w:val="center"/>
          </w:tcPr>
          <w:p>
            <w:pPr>
              <w:rPr>
                <w:rFonts w:ascii="宋体" w:hAnsi="宋体"/>
                <w:szCs w:val="21"/>
              </w:rPr>
            </w:pPr>
            <w:r>
              <w:rPr>
                <w:rFonts w:hint="eastAsia" w:ascii="宋体" w:hAnsi="宋体"/>
                <w:szCs w:val="21"/>
              </w:rPr>
              <w:t>坚持预防为主、防治结合、</w:t>
            </w:r>
            <w:r>
              <w:rPr>
                <w:rFonts w:hint="eastAsia" w:ascii="宋体" w:hAnsi="宋体"/>
                <w:b/>
                <w:color w:val="FF0000"/>
                <w:szCs w:val="21"/>
                <w:u w:val="single"/>
              </w:rPr>
              <w:t>中西医并重</w:t>
            </w:r>
            <w:r>
              <w:rPr>
                <w:rFonts w:hint="eastAsia" w:ascii="宋体" w:hAnsi="宋体"/>
                <w:szCs w:val="21"/>
              </w:rPr>
              <w:t xml:space="preserve">，推动健康服务从规模扩张的粗放型发展转变到质量效益提升的绿色集约式发展 </w:t>
            </w:r>
          </w:p>
        </w:tc>
      </w:tr>
      <w:tr>
        <w:tblPrEx>
          <w:tblCellMar>
            <w:top w:w="0" w:type="dxa"/>
            <w:left w:w="0" w:type="dxa"/>
            <w:bottom w:w="0" w:type="dxa"/>
            <w:right w:w="0" w:type="dxa"/>
          </w:tblCellMar>
        </w:tblPrEx>
        <w:trPr>
          <w:trHeight w:val="295" w:hRule="atLeast"/>
        </w:trPr>
        <w:tc>
          <w:tcPr>
            <w:tcW w:w="800" w:type="dxa"/>
            <w:tcBorders>
              <w:top w:val="single" w:color="000000" w:sz="8" w:space="0"/>
              <w:left w:val="single" w:color="000000" w:sz="8" w:space="0"/>
              <w:bottom w:val="single" w:color="000000" w:sz="8" w:space="0"/>
              <w:right w:val="single" w:color="000000" w:sz="8" w:space="0"/>
            </w:tcBorders>
            <w:shd w:val="clear" w:color="auto" w:fill="auto"/>
            <w:noWrap w:val="0"/>
            <w:tcMar>
              <w:top w:w="15" w:type="dxa"/>
              <w:left w:w="107" w:type="dxa"/>
              <w:bottom w:w="0" w:type="dxa"/>
              <w:right w:w="107" w:type="dxa"/>
            </w:tcMar>
            <w:vAlign w:val="center"/>
          </w:tcPr>
          <w:p>
            <w:pPr>
              <w:rPr>
                <w:rFonts w:ascii="宋体" w:hAnsi="宋体"/>
                <w:szCs w:val="21"/>
              </w:rPr>
            </w:pPr>
            <w:r>
              <w:rPr>
                <w:rFonts w:hint="eastAsia" w:ascii="宋体" w:hAnsi="宋体"/>
                <w:szCs w:val="21"/>
              </w:rPr>
              <w:t xml:space="preserve">公平 </w:t>
            </w:r>
          </w:p>
          <w:p>
            <w:pPr>
              <w:rPr>
                <w:rFonts w:ascii="宋体" w:hAnsi="宋体"/>
                <w:szCs w:val="21"/>
              </w:rPr>
            </w:pPr>
            <w:r>
              <w:rPr>
                <w:rFonts w:hint="eastAsia" w:ascii="宋体" w:hAnsi="宋体"/>
                <w:szCs w:val="21"/>
              </w:rPr>
              <w:t xml:space="preserve">公正 </w:t>
            </w:r>
          </w:p>
        </w:tc>
        <w:tc>
          <w:tcPr>
            <w:tcW w:w="7615" w:type="dxa"/>
            <w:tcBorders>
              <w:top w:val="single" w:color="000000" w:sz="8" w:space="0"/>
              <w:left w:val="single" w:color="000000" w:sz="8" w:space="0"/>
              <w:bottom w:val="single" w:color="000000" w:sz="8" w:space="0"/>
              <w:right w:val="single" w:color="000000" w:sz="8" w:space="0"/>
            </w:tcBorders>
            <w:shd w:val="clear" w:color="auto" w:fill="auto"/>
            <w:noWrap w:val="0"/>
            <w:tcMar>
              <w:top w:w="15" w:type="dxa"/>
              <w:left w:w="107" w:type="dxa"/>
              <w:bottom w:w="0" w:type="dxa"/>
              <w:right w:w="107" w:type="dxa"/>
            </w:tcMar>
            <w:vAlign w:val="center"/>
          </w:tcPr>
          <w:p>
            <w:pPr>
              <w:rPr>
                <w:rFonts w:ascii="宋体" w:hAnsi="宋体"/>
                <w:szCs w:val="21"/>
              </w:rPr>
            </w:pPr>
            <w:r>
              <w:rPr>
                <w:rFonts w:hint="eastAsia" w:ascii="宋体" w:hAnsi="宋体"/>
                <w:b/>
                <w:color w:val="FF0000"/>
                <w:szCs w:val="21"/>
                <w:u w:val="single"/>
              </w:rPr>
              <w:t>以农村和基层为重点</w:t>
            </w:r>
            <w:r>
              <w:rPr>
                <w:rFonts w:hint="eastAsia" w:ascii="宋体" w:hAnsi="宋体"/>
                <w:szCs w:val="21"/>
              </w:rPr>
              <w:t>，推动健康领域基本公共服务均等化，维护基本医疗卫生服务的公益性，</w:t>
            </w:r>
            <w:r>
              <w:rPr>
                <w:rFonts w:hint="eastAsia" w:ascii="宋体" w:hAnsi="宋体"/>
                <w:b/>
                <w:color w:val="FF0000"/>
                <w:szCs w:val="21"/>
                <w:u w:val="single"/>
              </w:rPr>
              <w:t>逐步</w:t>
            </w:r>
            <w:r>
              <w:rPr>
                <w:rFonts w:hint="eastAsia" w:ascii="宋体" w:hAnsi="宋体"/>
                <w:szCs w:val="21"/>
              </w:rPr>
              <w:t xml:space="preserve">实现全民健康覆盖，促进社会公平 </w:t>
            </w:r>
          </w:p>
        </w:tc>
      </w:tr>
    </w:tbl>
    <w:p>
      <w:pPr>
        <w:rPr>
          <w:rFonts w:ascii="宋体" w:hAnsi="宋体"/>
          <w:szCs w:val="21"/>
        </w:rPr>
      </w:pPr>
      <w:r>
        <w:rPr>
          <w:rFonts w:ascii="宋体" w:hAnsi="宋体"/>
          <w:szCs w:val="21"/>
        </w:rPr>
        <w:t>4.根据《中华人民共和国基本医疗卫生与健康促进法》，基本医疗卫生服务表述错误的是</w:t>
      </w:r>
    </w:p>
    <w:p>
      <w:pPr>
        <w:rPr>
          <w:rFonts w:ascii="宋体" w:hAnsi="宋体"/>
          <w:szCs w:val="21"/>
        </w:rPr>
      </w:pPr>
      <w:r>
        <w:rPr>
          <w:rFonts w:ascii="宋体" w:hAnsi="宋体"/>
          <w:szCs w:val="21"/>
        </w:rPr>
        <w:t>A.基本医疗卫生服务包括基本公共卫生服务和基本医疗服务</w:t>
      </w:r>
    </w:p>
    <w:p>
      <w:pPr>
        <w:rPr>
          <w:rFonts w:ascii="宋体" w:hAnsi="宋体"/>
          <w:szCs w:val="21"/>
        </w:rPr>
      </w:pPr>
      <w:r>
        <w:rPr>
          <w:rFonts w:ascii="宋体" w:hAnsi="宋体"/>
          <w:szCs w:val="21"/>
        </w:rPr>
        <w:t>B.医疗卫生与健康事业应当坚持以人民为中心，为人民健康服务</w:t>
      </w:r>
    </w:p>
    <w:p>
      <w:pPr>
        <w:rPr>
          <w:rFonts w:ascii="宋体" w:hAnsi="宋体"/>
          <w:szCs w:val="21"/>
        </w:rPr>
      </w:pPr>
      <w:r>
        <w:rPr>
          <w:rFonts w:ascii="宋体" w:hAnsi="宋体"/>
          <w:szCs w:val="21"/>
        </w:rPr>
        <w:t>C.医疗卫生事业应当坚持公益性原则</w:t>
      </w:r>
    </w:p>
    <w:p>
      <w:pPr>
        <w:rPr>
          <w:rFonts w:ascii="宋体" w:hAnsi="宋体"/>
          <w:szCs w:val="21"/>
        </w:rPr>
      </w:pPr>
      <w:r>
        <w:rPr>
          <w:rFonts w:ascii="宋体" w:hAnsi="宋体"/>
          <w:szCs w:val="21"/>
        </w:rPr>
        <w:t xml:space="preserve">D.基本公共卫生服务由国家和个人支付 </w:t>
      </w:r>
    </w:p>
    <w:p>
      <w:pPr>
        <w:rPr>
          <w:rFonts w:ascii="宋体" w:hAnsi="宋体"/>
          <w:szCs w:val="21"/>
        </w:rPr>
      </w:pPr>
    </w:p>
    <w:p>
      <w:pPr>
        <w:rPr>
          <w:rFonts w:ascii="宋体" w:hAnsi="宋体"/>
          <w:szCs w:val="21"/>
        </w:rPr>
      </w:pPr>
      <w:r>
        <w:rPr>
          <w:rFonts w:ascii="宋体" w:hAnsi="宋体"/>
          <w:szCs w:val="21"/>
        </w:rPr>
        <w:t>插一句：</w:t>
      </w:r>
    </w:p>
    <w:p>
      <w:pPr>
        <w:rPr>
          <w:rFonts w:ascii="宋体" w:hAnsi="宋体"/>
          <w:szCs w:val="21"/>
        </w:rPr>
      </w:pPr>
      <w:r>
        <w:rPr>
          <w:rFonts w:ascii="宋体" w:hAnsi="宋体"/>
          <w:szCs w:val="21"/>
        </w:rPr>
        <w:t>基本</w:t>
      </w:r>
      <w:r>
        <w:rPr>
          <w:rFonts w:ascii="宋体" w:hAnsi="宋体"/>
          <w:b/>
          <w:color w:val="FF0000"/>
          <w:szCs w:val="21"/>
          <w:u w:val="single"/>
        </w:rPr>
        <w:t>公共卫生</w:t>
      </w:r>
      <w:r>
        <w:rPr>
          <w:rFonts w:ascii="宋体" w:hAnsi="宋体"/>
          <w:szCs w:val="21"/>
        </w:rPr>
        <w:t>服务由国家基本医疗保险100%报销？</w:t>
      </w:r>
    </w:p>
    <w:p>
      <w:pPr>
        <w:rPr>
          <w:rFonts w:ascii="宋体" w:hAnsi="宋体"/>
          <w:szCs w:val="21"/>
        </w:rPr>
      </w:pPr>
      <w:r>
        <w:rPr>
          <w:rFonts w:ascii="宋体" w:hAnsi="宋体"/>
          <w:szCs w:val="21"/>
        </w:rPr>
        <w:t xml:space="preserve">                        </w:t>
      </w:r>
      <w:r>
        <w:rPr>
          <w:rFonts w:ascii="宋体" w:hAnsi="宋体"/>
          <w:szCs w:val="21"/>
        </w:rPr>
        <w:drawing>
          <wp:inline distT="0" distB="0" distL="114300" distR="114300">
            <wp:extent cx="1609090" cy="1595755"/>
            <wp:effectExtent l="0" t="0" r="10160" b="4445"/>
            <wp:docPr id="5" name="图片 5" descr="搜狗截图20年05月16日2137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搜狗截图20年05月16日2137_2.png"/>
                    <pic:cNvPicPr>
                      <a:picLocks noChangeAspect="1"/>
                    </pic:cNvPicPr>
                  </pic:nvPicPr>
                  <pic:blipFill>
                    <a:blip r:embed="rId10"/>
                    <a:stretch>
                      <a:fillRect/>
                    </a:stretch>
                  </pic:blipFill>
                  <pic:spPr>
                    <a:xfrm>
                      <a:off x="0" y="0"/>
                      <a:ext cx="1609090" cy="1595755"/>
                    </a:xfrm>
                    <a:prstGeom prst="rect">
                      <a:avLst/>
                    </a:prstGeom>
                    <a:noFill/>
                    <a:ln w="9525">
                      <a:noFill/>
                    </a:ln>
                  </pic:spPr>
                </pic:pic>
              </a:graphicData>
            </a:graphic>
          </wp:inline>
        </w:drawing>
      </w:r>
    </w:p>
    <w:p>
      <w:pPr>
        <w:rPr>
          <w:rFonts w:ascii="宋体" w:hAnsi="宋体"/>
          <w:b/>
          <w:color w:val="FF0000"/>
          <w:szCs w:val="21"/>
          <w:u w:val="single"/>
        </w:rPr>
      </w:pPr>
      <w:r>
        <w:rPr>
          <w:rFonts w:ascii="宋体" w:hAnsi="宋体"/>
          <w:szCs w:val="21"/>
        </w:rPr>
        <w:t xml:space="preserve">                         </w:t>
      </w:r>
      <w:r>
        <w:rPr>
          <w:rFonts w:ascii="宋体" w:hAnsi="宋体"/>
          <w:b/>
          <w:color w:val="FF0000"/>
          <w:szCs w:val="21"/>
          <w:u w:val="single"/>
        </w:rPr>
        <w:t xml:space="preserve"> 正确or错误？</w:t>
      </w:r>
    </w:p>
    <w:p>
      <w:pPr>
        <w:rPr>
          <w:rFonts w:ascii="宋体" w:hAnsi="宋体"/>
          <w:szCs w:val="21"/>
        </w:rPr>
      </w:pPr>
      <w:r>
        <w:rPr>
          <w:rFonts w:ascii="宋体" w:hAnsi="宋体"/>
          <w:szCs w:val="21"/>
        </w:rPr>
        <w:t>5.《中共中央国务院关于深化医疗保障制度改革的意见》提出了“1 +4+2”的医疗保障制度总体改革框架内容的说法，错误的是</w:t>
      </w:r>
    </w:p>
    <w:p>
      <w:pPr>
        <w:rPr>
          <w:rFonts w:ascii="宋体" w:hAnsi="宋体"/>
          <w:szCs w:val="21"/>
        </w:rPr>
      </w:pPr>
      <w:r>
        <w:rPr>
          <w:rFonts w:ascii="宋体" w:hAnsi="宋体"/>
          <w:szCs w:val="21"/>
        </w:rPr>
        <w:t>A.力争到2030年，全面建成以基本医疗保险为主体，医疗救助为托底，补充医疗保险、商业健康保险、慈善捐赠、医疗互助共同发展的多层次医疗保障制度体系</w:t>
      </w:r>
    </w:p>
    <w:p>
      <w:pPr>
        <w:rPr>
          <w:rFonts w:ascii="宋体" w:hAnsi="宋体"/>
          <w:szCs w:val="21"/>
        </w:rPr>
      </w:pPr>
      <w:r>
        <w:rPr>
          <w:rFonts w:ascii="宋体" w:hAnsi="宋体"/>
          <w:szCs w:val="21"/>
        </w:rPr>
        <w:t>B.健全待遇保障、 筹资运行、医保支付、基金监管四个机制</w:t>
      </w:r>
    </w:p>
    <w:p>
      <w:pPr>
        <w:rPr>
          <w:rFonts w:ascii="宋体" w:hAnsi="宋体"/>
          <w:szCs w:val="21"/>
        </w:rPr>
      </w:pPr>
      <w:r>
        <w:rPr>
          <w:rFonts w:ascii="宋体" w:hAnsi="宋体"/>
          <w:szCs w:val="21"/>
        </w:rPr>
        <w:t>C.完善医药服务供给和医疗保障服务两个支撑</w:t>
      </w:r>
    </w:p>
    <w:p>
      <w:pPr>
        <w:rPr>
          <w:rFonts w:ascii="宋体" w:hAnsi="宋体"/>
          <w:szCs w:val="21"/>
        </w:rPr>
      </w:pPr>
      <w:r>
        <w:rPr>
          <w:rFonts w:ascii="宋体" w:hAnsi="宋体"/>
          <w:szCs w:val="21"/>
        </w:rPr>
        <w:t xml:space="preserve">D.医疗保障制度改革坚持促进公平、筑牢底线，提高制度的公平性、协调性，短期内缩小待遇差距，增强普惠性、基础性、兜底性保障 </w:t>
      </w:r>
    </w:p>
    <w:p>
      <w:pPr>
        <w:rPr>
          <w:rFonts w:ascii="宋体" w:hAnsi="宋体"/>
          <w:szCs w:val="21"/>
        </w:rPr>
      </w:pPr>
    </w:p>
    <w:p>
      <w:pPr>
        <w:rPr>
          <w:rFonts w:ascii="宋体" w:hAnsi="宋体"/>
          <w:szCs w:val="21"/>
        </w:rPr>
      </w:pPr>
      <w:r>
        <w:rPr>
          <w:rFonts w:ascii="宋体" w:hAnsi="宋体"/>
          <w:szCs w:val="21"/>
        </w:rPr>
        <w:t>6.根据《 中共中央、国务院关于深化医疗保障制度改革的意见》 提出的"1+4+2"的医疗保障制度总体改革框架， 医疗保障制度改革总体考虑是从增进民生福祉出发。 具体来说，改革遵循的基本原则不包括</w:t>
      </w:r>
    </w:p>
    <w:p>
      <w:pPr>
        <w:rPr>
          <w:rFonts w:ascii="宋体" w:hAnsi="宋体"/>
          <w:szCs w:val="21"/>
        </w:rPr>
      </w:pPr>
      <w:r>
        <w:rPr>
          <w:rFonts w:ascii="宋体" w:hAnsi="宋体"/>
          <w:szCs w:val="21"/>
        </w:rPr>
        <w:t>A. 坚持应保尽保、 保障基本，基本医疗保障依法覆盖全民， 坚持尽力而为、量力而行， 实事求是确定保障范围和标准</w:t>
      </w:r>
    </w:p>
    <w:p>
      <w:pPr>
        <w:rPr>
          <w:rFonts w:ascii="宋体" w:hAnsi="宋体"/>
          <w:szCs w:val="21"/>
        </w:rPr>
      </w:pPr>
      <w:r>
        <w:rPr>
          <w:rFonts w:ascii="宋体" w:hAnsi="宋体"/>
          <w:szCs w:val="21"/>
        </w:rPr>
        <w:t>B. 坚持稳健持续、 防范风险，根据经济发展水平等因素科学确定筹资水平， 平均各方筹资缴费责任，加强统筹共济，防范基金风险</w:t>
      </w:r>
    </w:p>
    <w:p>
      <w:pPr>
        <w:rPr>
          <w:rFonts w:ascii="宋体" w:hAnsi="宋体"/>
          <w:szCs w:val="21"/>
        </w:rPr>
      </w:pPr>
      <w:r>
        <w:rPr>
          <w:rFonts w:ascii="宋体" w:hAnsi="宋体"/>
          <w:szCs w:val="21"/>
        </w:rPr>
        <w:t>C. 坚持促进公平、筑牢底线，提高制度的公平性、协调性，逐步缩小待遇差距， 增强普惠性、基础性、兜底性保障</w:t>
      </w:r>
    </w:p>
    <w:p>
      <w:pPr>
        <w:rPr>
          <w:rFonts w:ascii="宋体" w:hAnsi="宋体"/>
          <w:szCs w:val="21"/>
        </w:rPr>
      </w:pPr>
      <w:r>
        <w:rPr>
          <w:rFonts w:ascii="宋体" w:hAnsi="宋体"/>
          <w:szCs w:val="21"/>
        </w:rPr>
        <w:t xml:space="preserve">D. 坚持治理创新、 提质增效，发挥市场在资源配置中的决定性作用， 不断提高治理社会化、 法治化、标准化、 智能化水平 </w:t>
      </w:r>
    </w:p>
    <w:p>
      <w:pPr>
        <w:rPr>
          <w:rFonts w:ascii="宋体" w:hAnsi="宋体"/>
          <w:szCs w:val="21"/>
        </w:rPr>
      </w:pPr>
    </w:p>
    <w:p>
      <w:pPr>
        <w:rPr>
          <w:rFonts w:ascii="宋体" w:hAnsi="宋体"/>
          <w:szCs w:val="21"/>
        </w:rPr>
      </w:pPr>
      <w:r>
        <w:rPr>
          <w:rFonts w:ascii="宋体" w:hAnsi="宋体"/>
          <w:szCs w:val="21"/>
        </w:rPr>
        <w:t>7.下列关于基本医疗保险药品目录的说法，正确的是</w:t>
      </w:r>
    </w:p>
    <w:p>
      <w:pPr>
        <w:rPr>
          <w:rFonts w:ascii="宋体" w:hAnsi="宋体"/>
          <w:szCs w:val="21"/>
        </w:rPr>
      </w:pPr>
      <w:r>
        <w:rPr>
          <w:rFonts w:ascii="宋体" w:hAnsi="宋体"/>
          <w:szCs w:val="21"/>
        </w:rPr>
        <w:t>A.中药饮片列出基本医疗保险、工伤保险和生育保险基金准予支付的中药饮片和不得纳入基金支付的饮片范围</w:t>
      </w:r>
    </w:p>
    <w:p>
      <w:pPr>
        <w:rPr>
          <w:rFonts w:ascii="宋体" w:hAnsi="宋体"/>
          <w:szCs w:val="21"/>
        </w:rPr>
      </w:pPr>
      <w:r>
        <w:rPr>
          <w:rFonts w:ascii="宋体" w:hAnsi="宋体"/>
          <w:szCs w:val="21"/>
        </w:rPr>
        <w:t>B.各省可以增加“乙类目录”内的药品</w:t>
      </w:r>
    </w:p>
    <w:p>
      <w:pPr>
        <w:rPr>
          <w:rFonts w:ascii="宋体" w:hAnsi="宋体"/>
          <w:szCs w:val="21"/>
        </w:rPr>
      </w:pPr>
      <w:r>
        <w:rPr>
          <w:rFonts w:ascii="宋体" w:hAnsi="宋体"/>
          <w:szCs w:val="21"/>
        </w:rPr>
        <w:t>C. 目录中的“甲类目录”的药品是可供临床治疗选择，疗效好，同类药品中价格略高的药品</w:t>
      </w:r>
    </w:p>
    <w:p>
      <w:pPr>
        <w:rPr>
          <w:rFonts w:ascii="宋体" w:hAnsi="宋体"/>
          <w:szCs w:val="21"/>
        </w:rPr>
      </w:pPr>
      <w:r>
        <w:rPr>
          <w:rFonts w:ascii="宋体" w:hAnsi="宋体"/>
          <w:szCs w:val="21"/>
        </w:rPr>
        <w:t xml:space="preserve">D. 使用“甲类目录”的药品所发生的费用，先由参保人员自付一定比例，再按基本医疗保险的规定支付 </w:t>
      </w:r>
    </w:p>
    <w:p>
      <w:pPr>
        <w:rPr>
          <w:rFonts w:ascii="宋体" w:hAnsi="宋体"/>
          <w:szCs w:val="21"/>
        </w:rPr>
      </w:pPr>
    </w:p>
    <w:p>
      <w:pPr>
        <w:rPr>
          <w:rFonts w:ascii="宋体" w:hAnsi="宋体"/>
          <w:szCs w:val="21"/>
        </w:rPr>
      </w:pPr>
      <w:r>
        <w:rPr>
          <w:rFonts w:ascii="宋体" w:hAnsi="宋体"/>
          <w:szCs w:val="21"/>
        </w:rPr>
        <w:t>8.根据《2019年国家医保药品目录调整工作方案》， 中药饮片采用准入法管理。可以纳入基本医疗保险用药范围的中药饮片是</w:t>
      </w:r>
    </w:p>
    <w:p>
      <w:pPr>
        <w:rPr>
          <w:rFonts w:ascii="宋体" w:hAnsi="宋体"/>
          <w:szCs w:val="21"/>
        </w:rPr>
      </w:pPr>
      <w:r>
        <w:rPr>
          <w:rFonts w:ascii="宋体" w:hAnsi="宋体"/>
          <w:szCs w:val="21"/>
        </w:rPr>
        <w:t>A. 酒制蜂胶（省级药品标准）</w:t>
      </w:r>
    </w:p>
    <w:p>
      <w:pPr>
        <w:rPr>
          <w:rFonts w:ascii="宋体" w:hAnsi="宋体"/>
          <w:szCs w:val="21"/>
        </w:rPr>
      </w:pPr>
      <w:r>
        <w:rPr>
          <w:rFonts w:ascii="宋体" w:hAnsi="宋体"/>
          <w:szCs w:val="21"/>
        </w:rPr>
        <w:t>B. 酒制蜂胶（国家药品标准）</w:t>
      </w:r>
    </w:p>
    <w:p>
      <w:pPr>
        <w:rPr>
          <w:rFonts w:ascii="宋体" w:hAnsi="宋体"/>
          <w:szCs w:val="21"/>
        </w:rPr>
      </w:pPr>
      <w:r>
        <w:rPr>
          <w:rFonts w:ascii="宋体" w:hAnsi="宋体"/>
          <w:szCs w:val="21"/>
        </w:rPr>
        <w:t>C. 穿山甲</w:t>
      </w:r>
    </w:p>
    <w:p>
      <w:pPr>
        <w:rPr>
          <w:rFonts w:ascii="宋体" w:hAnsi="宋体"/>
          <w:szCs w:val="21"/>
        </w:rPr>
      </w:pPr>
      <w:r>
        <w:rPr>
          <w:rFonts w:ascii="宋体" w:hAnsi="宋体"/>
          <w:szCs w:val="21"/>
        </w:rPr>
        <w:t xml:space="preserve">D. 生白附子 </w:t>
      </w:r>
    </w:p>
    <w:p>
      <w:pPr>
        <w:rPr>
          <w:rFonts w:ascii="宋体" w:hAnsi="宋体"/>
          <w:szCs w:val="21"/>
        </w:rPr>
      </w:pPr>
    </w:p>
    <w:p>
      <w:pPr>
        <w:rPr>
          <w:rFonts w:ascii="宋体" w:hAnsi="宋体"/>
          <w:szCs w:val="21"/>
        </w:rPr>
      </w:pPr>
      <w:r>
        <w:rPr>
          <w:rFonts w:ascii="宋体" w:hAnsi="宋体"/>
          <w:szCs w:val="21"/>
        </w:rPr>
        <w:t>9.关于医保药品使用的费用支付原则的说法，错误的是</w:t>
      </w:r>
    </w:p>
    <w:p>
      <w:pPr>
        <w:rPr>
          <w:rFonts w:ascii="宋体" w:hAnsi="宋体"/>
          <w:szCs w:val="21"/>
        </w:rPr>
      </w:pPr>
      <w:r>
        <w:rPr>
          <w:rFonts w:ascii="宋体" w:hAnsi="宋体"/>
          <w:szCs w:val="21"/>
        </w:rPr>
        <w:t>A. 使用“甲类目录”的药品所发生的费用，按基本医疗保险的规定支付</w:t>
      </w:r>
    </w:p>
    <w:p>
      <w:pPr>
        <w:rPr>
          <w:rFonts w:ascii="宋体" w:hAnsi="宋体"/>
          <w:szCs w:val="21"/>
        </w:rPr>
      </w:pPr>
      <w:r>
        <w:rPr>
          <w:rFonts w:ascii="宋体" w:hAnsi="宋体"/>
          <w:szCs w:val="21"/>
        </w:rPr>
        <w:t>B. 使用“乙类目录”的药品所发生的费用，先由参保人员自付一定比例，再按基本医疗保险的规定支付</w:t>
      </w:r>
    </w:p>
    <w:p>
      <w:pPr>
        <w:rPr>
          <w:rFonts w:ascii="宋体" w:hAnsi="宋体"/>
          <w:szCs w:val="21"/>
        </w:rPr>
      </w:pPr>
      <w:r>
        <w:rPr>
          <w:rFonts w:ascii="宋体" w:hAnsi="宋体"/>
          <w:szCs w:val="21"/>
        </w:rPr>
        <w:t>C. 儿童或有临床证据证明为智力障碍的成人参保人员，由医生处方或住院医嘱使用与目录药品名称和剂型相同的非处方药品发生的费用，可以由统筹基金按规定支付</w:t>
      </w:r>
    </w:p>
    <w:p>
      <w:pPr>
        <w:rPr>
          <w:rFonts w:ascii="宋体" w:hAnsi="宋体"/>
          <w:szCs w:val="21"/>
        </w:rPr>
      </w:pPr>
      <w:r>
        <w:rPr>
          <w:rFonts w:ascii="宋体" w:hAnsi="宋体"/>
          <w:szCs w:val="21"/>
        </w:rPr>
        <w:t xml:space="preserve">D.参保患者自行购买医疗保险药品目录内药品发生的费用可以由医疗保险统筹基金支付 </w:t>
      </w:r>
    </w:p>
    <w:p>
      <w:pPr>
        <w:rPr>
          <w:rFonts w:ascii="宋体" w:hAnsi="宋体"/>
          <w:szCs w:val="21"/>
        </w:rPr>
      </w:pPr>
    </w:p>
    <w:p>
      <w:pPr>
        <w:rPr>
          <w:rFonts w:ascii="宋体" w:hAnsi="宋体"/>
          <w:szCs w:val="21"/>
        </w:rPr>
      </w:pPr>
      <w:r>
        <w:rPr>
          <w:rFonts w:ascii="宋体" w:hAnsi="宋体"/>
          <w:szCs w:val="21"/>
        </w:rPr>
        <w:t>10.多潘立酮口服液体制剂属于《国家基本医疗保险、工伤保险和生育保险药品目录（2019年版）》西药部分乙类药品，目录内该药品的备注栏为 “限儿童或吞咽困难患者”关于该药品医疗保险、工伤保险和生育保险支付方式的说法，错误 的是</w:t>
      </w:r>
    </w:p>
    <w:p>
      <w:pPr>
        <w:rPr>
          <w:rFonts w:ascii="宋体" w:hAnsi="宋体"/>
          <w:szCs w:val="21"/>
        </w:rPr>
      </w:pPr>
      <w:r>
        <w:rPr>
          <w:rFonts w:ascii="宋体" w:hAnsi="宋体"/>
          <w:szCs w:val="21"/>
        </w:rPr>
        <w:t>A. 儿童或吞咽困难患者可以按基本医疗保险的规定支付</w:t>
      </w:r>
    </w:p>
    <w:p>
      <w:pPr>
        <w:rPr>
          <w:rFonts w:ascii="宋体" w:hAnsi="宋体"/>
          <w:szCs w:val="21"/>
        </w:rPr>
      </w:pPr>
      <w:r>
        <w:rPr>
          <w:rFonts w:ascii="宋体" w:hAnsi="宋体"/>
          <w:szCs w:val="21"/>
        </w:rPr>
        <w:t>B. 吞咽困难患者生育可以按生育保险的规定支付</w:t>
      </w:r>
    </w:p>
    <w:p>
      <w:pPr>
        <w:rPr>
          <w:rFonts w:ascii="宋体" w:hAnsi="宋体"/>
          <w:szCs w:val="21"/>
        </w:rPr>
      </w:pPr>
      <w:r>
        <w:rPr>
          <w:rFonts w:ascii="宋体" w:hAnsi="宋体"/>
          <w:szCs w:val="21"/>
        </w:rPr>
        <w:t>C. 儿童或吞咽困难患者发生工伤可以按工伤保险的规定支付</w:t>
      </w:r>
    </w:p>
    <w:p>
      <w:pPr>
        <w:rPr>
          <w:rFonts w:ascii="宋体" w:hAnsi="宋体"/>
          <w:szCs w:val="21"/>
        </w:rPr>
      </w:pPr>
      <w:r>
        <w:rPr>
          <w:rFonts w:ascii="宋体" w:hAnsi="宋体"/>
          <w:szCs w:val="21"/>
        </w:rPr>
        <w:t xml:space="preserve">D. 非吞咽困难患者发生工伤不可以按工伤保险的规定支付 </w:t>
      </w:r>
    </w:p>
    <w:p>
      <w:pPr>
        <w:rPr>
          <w:rFonts w:ascii="宋体" w:hAnsi="宋体"/>
          <w:szCs w:val="21"/>
        </w:rPr>
      </w:pPr>
    </w:p>
    <w:p>
      <w:pPr>
        <w:rPr>
          <w:rFonts w:ascii="宋体" w:hAnsi="宋体"/>
          <w:szCs w:val="21"/>
        </w:rPr>
      </w:pPr>
      <w:r>
        <w:rPr>
          <w:rFonts w:ascii="宋体" w:hAnsi="宋体"/>
          <w:szCs w:val="21"/>
        </w:rPr>
        <w:t>11.国家基本药物工作委员会的职能不包括</w:t>
      </w:r>
    </w:p>
    <w:p>
      <w:pPr>
        <w:rPr>
          <w:rFonts w:ascii="宋体" w:hAnsi="宋体"/>
          <w:szCs w:val="21"/>
        </w:rPr>
      </w:pPr>
      <w:r>
        <w:rPr>
          <w:rFonts w:ascii="宋体" w:hAnsi="宋体"/>
          <w:szCs w:val="21"/>
        </w:rPr>
        <w:t>A.确定国家基本药物目录遴选原则、范围、程序</w:t>
      </w:r>
    </w:p>
    <w:p>
      <w:pPr>
        <w:rPr>
          <w:rFonts w:ascii="宋体" w:hAnsi="宋体"/>
          <w:szCs w:val="21"/>
        </w:rPr>
      </w:pPr>
      <w:r>
        <w:rPr>
          <w:rFonts w:ascii="宋体" w:hAnsi="宋体"/>
          <w:szCs w:val="21"/>
        </w:rPr>
        <w:t>B.确定国家基本药物目录遴选和调整的工作方案</w:t>
      </w:r>
    </w:p>
    <w:p>
      <w:pPr>
        <w:rPr>
          <w:rFonts w:ascii="宋体" w:hAnsi="宋体"/>
          <w:szCs w:val="21"/>
        </w:rPr>
      </w:pPr>
      <w:r>
        <w:rPr>
          <w:rFonts w:ascii="宋体" w:hAnsi="宋体"/>
          <w:szCs w:val="21"/>
        </w:rPr>
        <w:t>C.审核国家基本药物目录</w:t>
      </w:r>
    </w:p>
    <w:p>
      <w:pPr>
        <w:rPr>
          <w:rFonts w:ascii="宋体" w:hAnsi="宋体"/>
          <w:szCs w:val="21"/>
        </w:rPr>
      </w:pPr>
      <w:r>
        <w:rPr>
          <w:rFonts w:ascii="宋体" w:hAnsi="宋体"/>
          <w:szCs w:val="21"/>
        </w:rPr>
        <w:t xml:space="preserve">D.制定国家基本药物指导价 </w:t>
      </w:r>
    </w:p>
    <w:p>
      <w:pPr>
        <w:rPr>
          <w:rFonts w:ascii="宋体" w:hAnsi="宋体"/>
          <w:szCs w:val="21"/>
        </w:rPr>
      </w:pPr>
    </w:p>
    <w:p>
      <w:pPr>
        <w:rPr>
          <w:rFonts w:ascii="宋体" w:hAnsi="宋体"/>
          <w:szCs w:val="21"/>
        </w:rPr>
      </w:pPr>
      <w:r>
        <w:rPr>
          <w:rFonts w:ascii="宋体" w:hAnsi="宋体"/>
          <w:szCs w:val="21"/>
        </w:rPr>
        <w:t>12.关于国家基本药物目录调整的说法，错误的是</w:t>
      </w:r>
    </w:p>
    <w:p>
      <w:pPr>
        <w:rPr>
          <w:rFonts w:ascii="宋体" w:hAnsi="宋体"/>
          <w:szCs w:val="21"/>
        </w:rPr>
      </w:pPr>
      <w:r>
        <w:rPr>
          <w:rFonts w:ascii="宋体" w:hAnsi="宋体"/>
          <w:szCs w:val="21"/>
        </w:rPr>
        <w:t>A. 基本药物坚持防治必需，以满足疾病防治基本用药需求为导向， 各地不允件增补药品</w:t>
      </w:r>
    </w:p>
    <w:p>
      <w:pPr>
        <w:rPr>
          <w:rFonts w:ascii="宋体" w:hAnsi="宋体"/>
          <w:szCs w:val="21"/>
        </w:rPr>
      </w:pPr>
      <w:r>
        <w:rPr>
          <w:rFonts w:ascii="宋体" w:hAnsi="宋体"/>
          <w:szCs w:val="21"/>
        </w:rPr>
        <w:t>B. 优先调入有效性和安全性证据明确、成本效益比显著的药品品种</w:t>
      </w:r>
    </w:p>
    <w:p>
      <w:pPr>
        <w:rPr>
          <w:rFonts w:ascii="宋体" w:hAnsi="宋体"/>
          <w:szCs w:val="21"/>
        </w:rPr>
      </w:pPr>
      <w:r>
        <w:rPr>
          <w:rFonts w:ascii="宋体" w:hAnsi="宋体"/>
          <w:szCs w:val="21"/>
        </w:rPr>
        <w:t>C.重点调出已退市的，发生严重不良反应较多、经评估不宜再作为基本药物的，以及有风险效益比或成本效益比更优的品种替代的药品</w:t>
      </w:r>
    </w:p>
    <w:p>
      <w:pPr>
        <w:rPr>
          <w:rFonts w:ascii="宋体" w:hAnsi="宋体"/>
          <w:szCs w:val="21"/>
        </w:rPr>
      </w:pPr>
      <w:r>
        <w:rPr>
          <w:rFonts w:ascii="宋体" w:hAnsi="宋体"/>
          <w:szCs w:val="21"/>
        </w:rPr>
        <w:t xml:space="preserve">D.对新审批上市、疗效有显著改善且价格合理的药品，可适时启动调入程序 </w:t>
      </w:r>
    </w:p>
    <w:p>
      <w:pPr>
        <w:rPr>
          <w:rFonts w:ascii="宋体" w:hAnsi="宋体"/>
          <w:szCs w:val="21"/>
        </w:rPr>
      </w:pPr>
    </w:p>
    <w:p>
      <w:pPr>
        <w:rPr>
          <w:rFonts w:ascii="宋体" w:hAnsi="宋体"/>
          <w:szCs w:val="21"/>
        </w:rPr>
      </w:pPr>
      <w:r>
        <w:rPr>
          <w:rFonts w:ascii="宋体" w:hAnsi="宋体"/>
          <w:szCs w:val="21"/>
        </w:rPr>
        <w:t>13.根据《 关于进一步改革完善药品生产流通使用政策的若干意见》 ，下列属于药品流通环节改革政策的是</w:t>
      </w:r>
    </w:p>
    <w:p>
      <w:pPr>
        <w:rPr>
          <w:rFonts w:ascii="宋体" w:hAnsi="宋体"/>
          <w:szCs w:val="21"/>
        </w:rPr>
      </w:pPr>
      <w:r>
        <w:rPr>
          <w:rFonts w:ascii="宋体" w:hAnsi="宋体"/>
          <w:szCs w:val="21"/>
        </w:rPr>
        <w:t>A.加大医药产业结构调整力度，推动落后企业退出</w:t>
      </w:r>
    </w:p>
    <w:p>
      <w:pPr>
        <w:rPr>
          <w:rFonts w:ascii="宋体" w:hAnsi="宋体"/>
          <w:szCs w:val="21"/>
        </w:rPr>
      </w:pPr>
      <w:r>
        <w:rPr>
          <w:rFonts w:ascii="宋体" w:hAnsi="宋体"/>
          <w:szCs w:val="21"/>
        </w:rPr>
        <w:t>B.健全短缺药品、低价药品监测预警和分级应对机制</w:t>
      </w:r>
    </w:p>
    <w:p>
      <w:pPr>
        <w:rPr>
          <w:rFonts w:ascii="宋体" w:hAnsi="宋体"/>
          <w:szCs w:val="21"/>
        </w:rPr>
      </w:pPr>
      <w:r>
        <w:rPr>
          <w:rFonts w:ascii="宋体" w:hAnsi="宋体"/>
          <w:szCs w:val="21"/>
        </w:rPr>
        <w:t>C.鼓励有条件地区依托现有信息系统， 开展药师网上处方审核、 合理用药指导等药事服务</w:t>
      </w:r>
    </w:p>
    <w:p>
      <w:pPr>
        <w:rPr>
          <w:rFonts w:ascii="宋体" w:hAnsi="宋体"/>
          <w:szCs w:val="21"/>
        </w:rPr>
      </w:pPr>
      <w:r>
        <w:rPr>
          <w:rFonts w:ascii="宋体" w:hAnsi="宋体"/>
          <w:szCs w:val="21"/>
        </w:rPr>
        <w:t xml:space="preserve">D. 强化医保规范行为和控制费用的作用 </w:t>
      </w:r>
    </w:p>
    <w:p>
      <w:pPr>
        <w:rPr>
          <w:rFonts w:ascii="宋体" w:hAnsi="宋体"/>
          <w:szCs w:val="21"/>
        </w:rPr>
      </w:pPr>
    </w:p>
    <w:p>
      <w:pPr>
        <w:rPr>
          <w:rFonts w:ascii="宋体" w:hAnsi="宋体"/>
          <w:szCs w:val="21"/>
        </w:rPr>
      </w:pPr>
      <w:r>
        <w:rPr>
          <w:rFonts w:ascii="宋体" w:hAnsi="宋体"/>
          <w:szCs w:val="21"/>
        </w:rPr>
        <w:t>14. 药品的特殊性不包括</w:t>
      </w:r>
    </w:p>
    <w:p>
      <w:pPr>
        <w:rPr>
          <w:rFonts w:ascii="宋体" w:hAnsi="宋体"/>
          <w:szCs w:val="21"/>
        </w:rPr>
      </w:pPr>
      <w:r>
        <w:rPr>
          <w:rFonts w:ascii="宋体" w:hAnsi="宋体"/>
          <w:szCs w:val="21"/>
        </w:rPr>
        <w:t>A.专属性</w:t>
      </w:r>
    </w:p>
    <w:p>
      <w:pPr>
        <w:rPr>
          <w:rFonts w:ascii="宋体" w:hAnsi="宋体"/>
          <w:szCs w:val="21"/>
        </w:rPr>
      </w:pPr>
      <w:r>
        <w:rPr>
          <w:rFonts w:ascii="宋体" w:hAnsi="宋体"/>
          <w:szCs w:val="21"/>
        </w:rPr>
        <w:t>B.两重性</w:t>
      </w:r>
    </w:p>
    <w:p>
      <w:pPr>
        <w:rPr>
          <w:rFonts w:ascii="宋体" w:hAnsi="宋体"/>
          <w:szCs w:val="21"/>
        </w:rPr>
      </w:pPr>
      <w:r>
        <w:rPr>
          <w:rFonts w:ascii="宋体" w:hAnsi="宋体"/>
          <w:szCs w:val="21"/>
        </w:rPr>
        <w:t>C.质量重要性</w:t>
      </w:r>
    </w:p>
    <w:p>
      <w:pPr>
        <w:rPr>
          <w:rFonts w:ascii="宋体" w:hAnsi="宋体"/>
          <w:szCs w:val="21"/>
        </w:rPr>
      </w:pPr>
      <w:r>
        <w:rPr>
          <w:rFonts w:ascii="宋体" w:hAnsi="宋体"/>
          <w:szCs w:val="21"/>
        </w:rPr>
        <w:t xml:space="preserve">D.均一性 </w:t>
      </w:r>
    </w:p>
    <w:p>
      <w:pPr>
        <w:rPr>
          <w:rFonts w:ascii="宋体" w:hAnsi="宋体"/>
          <w:szCs w:val="21"/>
        </w:rPr>
      </w:pPr>
    </w:p>
    <w:p>
      <w:pPr>
        <w:rPr>
          <w:rFonts w:ascii="宋体" w:hAnsi="宋体"/>
          <w:szCs w:val="21"/>
        </w:rPr>
      </w:pPr>
      <w:r>
        <w:rPr>
          <w:rFonts w:ascii="宋体" w:hAnsi="宋体"/>
          <w:szCs w:val="21"/>
        </w:rPr>
        <w:t>15. 以下对于国家药品目录中的相关内容的规定，错误的是</w:t>
      </w:r>
    </w:p>
    <w:p>
      <w:pPr>
        <w:rPr>
          <w:rFonts w:ascii="宋体" w:hAnsi="宋体"/>
          <w:szCs w:val="21"/>
        </w:rPr>
      </w:pPr>
      <w:r>
        <w:rPr>
          <w:rFonts w:ascii="宋体" w:hAnsi="宋体"/>
          <w:szCs w:val="21"/>
        </w:rPr>
        <w:t>A.对中药饮片，规定“颁布国家药品标准的中药饮片为国家基本药物，国家另有规定的除外”</w:t>
      </w:r>
    </w:p>
    <w:p>
      <w:pPr>
        <w:rPr>
          <w:rFonts w:ascii="宋体" w:hAnsi="宋体"/>
          <w:szCs w:val="21"/>
        </w:rPr>
      </w:pPr>
      <w:r>
        <w:rPr>
          <w:rFonts w:ascii="宋体" w:hAnsi="宋体"/>
          <w:szCs w:val="21"/>
        </w:rPr>
        <w:t>B.品种的规格主要依据药典。同一品种剂量相同但表述方式不同的暂视为同一规格；未标注具体规格的，其剂型对应的规格暂以国家药品管理部门批准的规格为准</w:t>
      </w:r>
    </w:p>
    <w:p>
      <w:pPr>
        <w:rPr>
          <w:rFonts w:ascii="宋体" w:hAnsi="宋体"/>
          <w:szCs w:val="21"/>
        </w:rPr>
      </w:pPr>
      <w:r>
        <w:rPr>
          <w:rFonts w:ascii="宋体" w:hAnsi="宋体"/>
          <w:szCs w:val="21"/>
        </w:rPr>
        <w:t>C.中成药成分中的“麝香”为人工麝香</w:t>
      </w:r>
    </w:p>
    <w:p>
      <w:pPr>
        <w:rPr>
          <w:rFonts w:ascii="宋体" w:hAnsi="宋体"/>
          <w:szCs w:val="21"/>
        </w:rPr>
      </w:pPr>
      <w:r>
        <w:rPr>
          <w:rFonts w:ascii="宋体" w:hAnsi="宋体"/>
          <w:szCs w:val="21"/>
        </w:rPr>
        <w:t xml:space="preserve">D.“安宫牛黄丸”和“活心丸”成分中的“牛黄”为人工牛黄 </w:t>
      </w:r>
    </w:p>
    <w:p>
      <w:pPr>
        <w:rPr>
          <w:rFonts w:ascii="宋体" w:hAnsi="宋体"/>
          <w:szCs w:val="21"/>
        </w:rPr>
      </w:pPr>
    </w:p>
    <w:p>
      <w:pPr>
        <w:rPr>
          <w:rFonts w:ascii="宋体" w:hAnsi="宋体"/>
          <w:szCs w:val="21"/>
        </w:rPr>
      </w:pPr>
      <w:r>
        <w:rPr>
          <w:rFonts w:ascii="宋体" w:hAnsi="宋体"/>
          <w:szCs w:val="21"/>
        </w:rPr>
        <w:t>16.根据《执业药师职业资格制度规定》，关于执业药师注册条件和要求的说法，错误的是</w:t>
      </w:r>
    </w:p>
    <w:p>
      <w:pPr>
        <w:rPr>
          <w:rFonts w:ascii="宋体" w:hAnsi="宋体"/>
          <w:szCs w:val="21"/>
        </w:rPr>
      </w:pPr>
      <w:r>
        <w:rPr>
          <w:rFonts w:ascii="宋体" w:hAnsi="宋体"/>
          <w:szCs w:val="21"/>
        </w:rPr>
        <w:t>A.取得执业药师职业资格证书并经注册方能执业</w:t>
      </w:r>
    </w:p>
    <w:p>
      <w:pPr>
        <w:rPr>
          <w:rFonts w:ascii="宋体" w:hAnsi="宋体"/>
          <w:szCs w:val="21"/>
        </w:rPr>
      </w:pPr>
      <w:r>
        <w:rPr>
          <w:rFonts w:ascii="宋体" w:hAnsi="宋体"/>
          <w:szCs w:val="21"/>
        </w:rPr>
        <w:t>B.首次注册应在取得职业资格证书后5年内申请注册</w:t>
      </w:r>
    </w:p>
    <w:p>
      <w:pPr>
        <w:rPr>
          <w:rFonts w:ascii="宋体" w:hAnsi="宋体"/>
          <w:szCs w:val="21"/>
        </w:rPr>
      </w:pPr>
      <w:r>
        <w:rPr>
          <w:rFonts w:ascii="宋体" w:hAnsi="宋体"/>
          <w:szCs w:val="21"/>
        </w:rPr>
        <w:t>C.遵纪守法，无不良信息记录</w:t>
      </w:r>
    </w:p>
    <w:p>
      <w:pPr>
        <w:rPr>
          <w:rFonts w:ascii="宋体" w:hAnsi="宋体"/>
          <w:szCs w:val="21"/>
        </w:rPr>
      </w:pPr>
      <w:r>
        <w:rPr>
          <w:rFonts w:ascii="宋体" w:hAnsi="宋体"/>
          <w:szCs w:val="21"/>
        </w:rPr>
        <w:t xml:space="preserve">D.身体健康，能坚持在执业药师岗位工作，并经执业单位考核同意 </w:t>
      </w:r>
    </w:p>
    <w:p>
      <w:pPr>
        <w:rPr>
          <w:rFonts w:ascii="宋体" w:hAnsi="宋体"/>
          <w:szCs w:val="21"/>
        </w:rPr>
      </w:pPr>
    </w:p>
    <w:p>
      <w:pPr>
        <w:rPr>
          <w:rFonts w:ascii="宋体" w:hAnsi="宋体"/>
          <w:szCs w:val="21"/>
        </w:rPr>
      </w:pPr>
      <w:r>
        <w:rPr>
          <w:rFonts w:ascii="宋体" w:hAnsi="宋体"/>
          <w:szCs w:val="21"/>
        </w:rPr>
        <w:t>17.关于药品安全风险和药品安全风险管理措施的说法，错误的是</w:t>
      </w:r>
    </w:p>
    <w:p>
      <w:pPr>
        <w:rPr>
          <w:rFonts w:ascii="宋体" w:hAnsi="宋体"/>
          <w:szCs w:val="21"/>
        </w:rPr>
      </w:pPr>
      <w:r>
        <w:rPr>
          <w:rFonts w:ascii="宋体" w:hAnsi="宋体"/>
          <w:szCs w:val="21"/>
        </w:rPr>
        <w:t>A.药品内在属性决定药品具有不可避免的药品安全风险</w:t>
      </w:r>
    </w:p>
    <w:p>
      <w:pPr>
        <w:rPr>
          <w:rFonts w:ascii="宋体" w:hAnsi="宋体"/>
          <w:szCs w:val="21"/>
        </w:rPr>
      </w:pPr>
      <w:r>
        <w:rPr>
          <w:rFonts w:ascii="宋体" w:hAnsi="宋体"/>
          <w:szCs w:val="21"/>
        </w:rPr>
        <w:t>B.不合理用药、用药差错是导致药品安全风险的关键因素</w:t>
      </w:r>
    </w:p>
    <w:p>
      <w:pPr>
        <w:rPr>
          <w:rFonts w:ascii="宋体" w:hAnsi="宋体"/>
          <w:szCs w:val="21"/>
        </w:rPr>
      </w:pPr>
      <w:r>
        <w:rPr>
          <w:rFonts w:ascii="宋体" w:hAnsi="宋体"/>
          <w:szCs w:val="21"/>
        </w:rPr>
        <w:t>C.药品上市许可持有人应担负起药品整个生命周期的安全监测和风险管理工作</w:t>
      </w:r>
    </w:p>
    <w:p>
      <w:pPr>
        <w:rPr>
          <w:rFonts w:ascii="宋体" w:hAnsi="宋体"/>
          <w:szCs w:val="21"/>
        </w:rPr>
      </w:pPr>
      <w:r>
        <w:rPr>
          <w:rFonts w:ascii="宋体" w:hAnsi="宋体"/>
          <w:szCs w:val="21"/>
        </w:rPr>
        <w:t xml:space="preserve">D.实施药品安全风险管理的有效措施是要从药品注册环节消除各种药品风险因素 </w:t>
      </w:r>
    </w:p>
    <w:p>
      <w:pPr>
        <w:rPr>
          <w:rFonts w:ascii="宋体" w:hAnsi="宋体"/>
          <w:szCs w:val="21"/>
        </w:rPr>
      </w:pPr>
    </w:p>
    <w:p>
      <w:pPr>
        <w:rPr>
          <w:rFonts w:ascii="宋体" w:hAnsi="宋体"/>
          <w:szCs w:val="21"/>
        </w:rPr>
      </w:pPr>
      <w:r>
        <w:rPr>
          <w:rFonts w:ascii="宋体" w:hAnsi="宋体"/>
          <w:szCs w:val="21"/>
        </w:rPr>
        <w:t>18.根据《关于改革完善仿制药供应保障及使用政策意见》，关于改革与完善仿制药供应保障配套支持政策的说法，错误的是</w:t>
      </w:r>
    </w:p>
    <w:p>
      <w:pPr>
        <w:rPr>
          <w:rFonts w:ascii="宋体" w:hAnsi="宋体"/>
          <w:szCs w:val="21"/>
        </w:rPr>
      </w:pPr>
      <w:r>
        <w:rPr>
          <w:rFonts w:ascii="宋体" w:hAnsi="宋体"/>
          <w:szCs w:val="21"/>
        </w:rPr>
        <w:t>A. 药品集中采购机构按药品通用名编制采购目录，及时将符合条件的仿制药纳入采购范围</w:t>
      </w:r>
    </w:p>
    <w:p>
      <w:pPr>
        <w:rPr>
          <w:rFonts w:ascii="宋体" w:hAnsi="宋体"/>
          <w:szCs w:val="21"/>
        </w:rPr>
      </w:pPr>
      <w:r>
        <w:rPr>
          <w:rFonts w:ascii="宋体" w:hAnsi="宋体"/>
          <w:szCs w:val="21"/>
        </w:rPr>
        <w:t>B. 将与原研药质量和疗效一致的仿制药纳入可相互替代的药品目录，并在药品说明书、标签中予以标注，便于医务人员和患者选择使用</w:t>
      </w:r>
    </w:p>
    <w:p>
      <w:pPr>
        <w:rPr>
          <w:rFonts w:ascii="宋体" w:hAnsi="宋体"/>
          <w:szCs w:val="21"/>
        </w:rPr>
      </w:pPr>
      <w:r>
        <w:rPr>
          <w:rFonts w:ascii="宋体" w:hAnsi="宋体"/>
          <w:szCs w:val="21"/>
        </w:rPr>
        <w:t>C. 加快制定医保药品支付标准，与原研药质量和疗效一致的仿制药支付标准应当适当高于原研药</w:t>
      </w:r>
    </w:p>
    <w:p>
      <w:pPr>
        <w:rPr>
          <w:rFonts w:ascii="宋体" w:hAnsi="宋体"/>
          <w:szCs w:val="21"/>
        </w:rPr>
      </w:pPr>
      <w:r>
        <w:rPr>
          <w:rFonts w:ascii="宋体" w:hAnsi="宋体"/>
          <w:szCs w:val="21"/>
        </w:rPr>
        <w:t xml:space="preserve">D. 落实税收优惠和价格政策，鼓励地方结合实际出台支持仿制药转型升级的政策措施 </w:t>
      </w:r>
    </w:p>
    <w:p>
      <w:pPr>
        <w:rPr>
          <w:rFonts w:ascii="宋体" w:hAnsi="宋体"/>
          <w:b/>
          <w:color w:val="FF0000"/>
          <w:szCs w:val="21"/>
          <w:u w:val="single"/>
        </w:rPr>
      </w:pPr>
    </w:p>
    <w:p>
      <w:pPr>
        <w:rPr>
          <w:rFonts w:ascii="宋体" w:hAnsi="宋体"/>
          <w:b/>
          <w:color w:val="FF0000"/>
          <w:szCs w:val="21"/>
          <w:u w:val="single"/>
        </w:rPr>
      </w:pPr>
      <w:r>
        <w:rPr>
          <w:rFonts w:ascii="宋体" w:hAnsi="宋体"/>
          <w:b/>
          <w:color w:val="FF0000"/>
          <w:szCs w:val="21"/>
          <w:u w:val="single"/>
        </w:rPr>
        <w:t xml:space="preserve">补充： </w:t>
      </w:r>
    </w:p>
    <w:p>
      <w:pPr>
        <w:rPr>
          <w:rFonts w:ascii="宋体" w:hAnsi="宋体"/>
          <w:szCs w:val="21"/>
        </w:rPr>
      </w:pPr>
      <w:r>
        <w:rPr>
          <w:rFonts w:ascii="宋体" w:hAnsi="宋体"/>
          <w:szCs w:val="21"/>
        </w:rPr>
        <w:t xml:space="preserve">医保目录中统一的支付标准： </w:t>
      </w:r>
    </w:p>
    <w:p>
      <w:pPr>
        <w:rPr>
          <w:rFonts w:ascii="宋体" w:hAnsi="宋体"/>
          <w:b/>
          <w:color w:val="FF0000"/>
          <w:szCs w:val="21"/>
          <w:u w:val="single"/>
        </w:rPr>
      </w:pPr>
      <w:r>
        <w:rPr>
          <w:rFonts w:ascii="宋体" w:hAnsi="宋体"/>
          <w:szCs w:val="21"/>
        </w:rPr>
        <w:t>①通过一致性评价的仿制药价格水平，对原研药和通过一致性评价仿制药制定</w:t>
      </w:r>
      <w:r>
        <w:rPr>
          <w:rFonts w:ascii="宋体" w:hAnsi="宋体"/>
          <w:b/>
          <w:color w:val="FF0000"/>
          <w:szCs w:val="21"/>
          <w:u w:val="single"/>
        </w:rPr>
        <w:t>统一的支付标准。</w:t>
      </w:r>
    </w:p>
    <w:p>
      <w:pPr>
        <w:rPr>
          <w:rFonts w:ascii="宋体" w:hAnsi="宋体"/>
          <w:szCs w:val="21"/>
        </w:rPr>
      </w:pPr>
      <w:r>
        <w:rPr>
          <w:rFonts w:ascii="宋体" w:hAnsi="宋体"/>
          <w:szCs w:val="21"/>
        </w:rPr>
        <w:t>②</w:t>
      </w:r>
      <w:r>
        <w:rPr>
          <w:rFonts w:ascii="宋体" w:hAnsi="宋体"/>
          <w:b/>
          <w:color w:val="FF0000"/>
          <w:szCs w:val="21"/>
          <w:u w:val="single"/>
        </w:rPr>
        <w:t>谈判药品</w:t>
      </w:r>
      <w:r>
        <w:rPr>
          <w:rFonts w:ascii="宋体" w:hAnsi="宋体"/>
          <w:szCs w:val="21"/>
        </w:rPr>
        <w:t>实行</w:t>
      </w:r>
      <w:r>
        <w:rPr>
          <w:rFonts w:ascii="宋体" w:hAnsi="宋体"/>
          <w:b/>
          <w:color w:val="FF0000"/>
          <w:szCs w:val="21"/>
          <w:u w:val="single"/>
        </w:rPr>
        <w:t>全国统一</w:t>
      </w:r>
      <w:r>
        <w:rPr>
          <w:rFonts w:ascii="宋体" w:hAnsi="宋体"/>
          <w:szCs w:val="21"/>
        </w:rPr>
        <w:t>的支付标准，其“备注”规定该药品的限定支付范围、规格及支付标准。</w:t>
      </w:r>
    </w:p>
    <w:p>
      <w:pPr>
        <w:rPr>
          <w:rFonts w:ascii="宋体" w:hAnsi="宋体"/>
          <w:szCs w:val="21"/>
        </w:rPr>
      </w:pPr>
      <w:r>
        <w:rPr>
          <w:rFonts w:ascii="宋体" w:hAnsi="宋体"/>
          <w:szCs w:val="21"/>
        </w:rPr>
        <w:t>19.关于现行版国家基本药物目录的说法，错误的是</w:t>
      </w:r>
    </w:p>
    <w:p>
      <w:pPr>
        <w:rPr>
          <w:rFonts w:ascii="宋体" w:hAnsi="宋体"/>
          <w:szCs w:val="21"/>
        </w:rPr>
      </w:pPr>
      <w:r>
        <w:rPr>
          <w:rFonts w:ascii="宋体" w:hAnsi="宋体"/>
          <w:szCs w:val="21"/>
        </w:rPr>
        <w:t>A. 目录对于指导基本药物生产流通、招标采购、 合理用药、支付报销、全程监管等具有重要意义</w:t>
      </w:r>
    </w:p>
    <w:p>
      <w:pPr>
        <w:rPr>
          <w:rFonts w:ascii="宋体" w:hAnsi="宋体"/>
          <w:szCs w:val="21"/>
        </w:rPr>
      </w:pPr>
      <w:r>
        <w:rPr>
          <w:rFonts w:ascii="宋体" w:hAnsi="宋体"/>
          <w:szCs w:val="21"/>
        </w:rPr>
        <w:t>B. 目录继续坚持中西药并重，增加了功能主治范围，强化了临床必需</w:t>
      </w:r>
    </w:p>
    <w:p>
      <w:pPr>
        <w:rPr>
          <w:rFonts w:ascii="宋体" w:hAnsi="宋体"/>
          <w:szCs w:val="21"/>
        </w:rPr>
      </w:pPr>
      <w:r>
        <w:rPr>
          <w:rFonts w:ascii="宋体" w:hAnsi="宋体"/>
          <w:szCs w:val="21"/>
        </w:rPr>
        <w:t>C. 品种的规格主要依据药典。同一品种剂量相同但表述方式不同的暂视为同一规格；未标注具体规格的，其剂型对应的规格暂以国家药品管理部门批准的规格为准</w:t>
      </w:r>
    </w:p>
    <w:p>
      <w:pPr>
        <w:rPr>
          <w:rFonts w:ascii="宋体" w:hAnsi="宋体"/>
          <w:szCs w:val="21"/>
        </w:rPr>
      </w:pPr>
      <w:r>
        <w:rPr>
          <w:rFonts w:ascii="宋体" w:hAnsi="宋体"/>
          <w:szCs w:val="21"/>
        </w:rPr>
        <w:t xml:space="preserve">D.目录中的中药饮片不列具体品种，经国家药品监督管理部门批准上市的中药饮片为基本药物 </w:t>
      </w:r>
    </w:p>
    <w:p>
      <w:pPr>
        <w:rPr>
          <w:rFonts w:ascii="宋体" w:hAnsi="宋体"/>
          <w:szCs w:val="21"/>
        </w:rPr>
      </w:pPr>
    </w:p>
    <w:p>
      <w:pPr>
        <w:rPr>
          <w:rFonts w:ascii="宋体" w:hAnsi="宋体"/>
          <w:szCs w:val="21"/>
        </w:rPr>
      </w:pPr>
      <w:r>
        <w:rPr>
          <w:rFonts w:ascii="宋体" w:hAnsi="宋体"/>
          <w:szCs w:val="21"/>
        </w:rPr>
        <w:t xml:space="preserve">中药饮片不列具体品种，对中药饮片，规定“ </w:t>
      </w:r>
      <w:r>
        <w:rPr>
          <w:rFonts w:ascii="宋体" w:hAnsi="宋体"/>
          <w:b/>
          <w:color w:val="FF0000"/>
          <w:szCs w:val="21"/>
          <w:u w:val="single"/>
        </w:rPr>
        <w:t>颁布国家药品标准的中药饮片</w:t>
      </w:r>
      <w:r>
        <w:rPr>
          <w:rFonts w:ascii="宋体" w:hAnsi="宋体"/>
          <w:szCs w:val="21"/>
        </w:rPr>
        <w:t xml:space="preserve">为国家基本药物，国家另有规定的除外”。 </w:t>
      </w:r>
    </w:p>
    <w:p>
      <w:pPr>
        <w:rPr>
          <w:rFonts w:ascii="宋体" w:hAnsi="宋体"/>
          <w:b/>
          <w:color w:val="FF0000"/>
          <w:szCs w:val="21"/>
          <w:u w:val="single"/>
        </w:rPr>
      </w:pPr>
      <w:r>
        <w:rPr>
          <w:rFonts w:ascii="宋体" w:hAnsi="宋体"/>
          <w:b/>
          <w:color w:val="FF0000"/>
          <w:szCs w:val="21"/>
          <w:u w:val="single"/>
        </w:rPr>
        <w:t xml:space="preserve">联系下医疗保险目录：中药饮片？ </w:t>
      </w:r>
    </w:p>
    <w:tbl>
      <w:tblPr>
        <w:tblStyle w:val="7"/>
        <w:tblW w:w="84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381"/>
        <w:gridCol w:w="6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1" w:hRule="atLeast"/>
        </w:trPr>
        <w:tc>
          <w:tcPr>
            <w:tcW w:w="2381" w:type="dxa"/>
            <w:shd w:val="clear" w:color="auto" w:fill="auto"/>
            <w:noWrap w:val="0"/>
            <w:tcMar>
              <w:top w:w="72" w:type="dxa"/>
              <w:left w:w="144" w:type="dxa"/>
              <w:bottom w:w="72" w:type="dxa"/>
              <w:right w:w="144" w:type="dxa"/>
            </w:tcMar>
            <w:vAlign w:val="center"/>
          </w:tcPr>
          <w:p>
            <w:pPr>
              <w:rPr>
                <w:rFonts w:ascii="宋体" w:hAnsi="宋体"/>
                <w:szCs w:val="21"/>
              </w:rPr>
            </w:pPr>
            <w:r>
              <w:rPr>
                <w:rFonts w:hint="eastAsia" w:ascii="宋体" w:hAnsi="宋体"/>
                <w:szCs w:val="21"/>
              </w:rPr>
              <w:t xml:space="preserve">国家基本药物 </w:t>
            </w:r>
          </w:p>
        </w:tc>
        <w:tc>
          <w:tcPr>
            <w:tcW w:w="6080" w:type="dxa"/>
            <w:shd w:val="clear" w:color="auto" w:fill="auto"/>
            <w:noWrap w:val="0"/>
            <w:tcMar>
              <w:top w:w="72" w:type="dxa"/>
              <w:left w:w="144" w:type="dxa"/>
              <w:bottom w:w="72" w:type="dxa"/>
              <w:right w:w="144" w:type="dxa"/>
            </w:tcMar>
            <w:vAlign w:val="center"/>
          </w:tcPr>
          <w:p>
            <w:pPr>
              <w:rPr>
                <w:rFonts w:ascii="宋体" w:hAnsi="宋体"/>
                <w:szCs w:val="21"/>
              </w:rPr>
            </w:pPr>
            <w:r>
              <w:rPr>
                <w:rFonts w:hint="eastAsia" w:ascii="宋体" w:hAnsi="宋体"/>
                <w:szCs w:val="21"/>
              </w:rPr>
              <w:t xml:space="preserve">医保药品目录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9" w:hRule="atLeast"/>
        </w:trPr>
        <w:tc>
          <w:tcPr>
            <w:tcW w:w="2381" w:type="dxa"/>
            <w:shd w:val="clear" w:color="auto" w:fill="auto"/>
            <w:noWrap w:val="0"/>
            <w:tcMar>
              <w:top w:w="72" w:type="dxa"/>
              <w:left w:w="144" w:type="dxa"/>
              <w:bottom w:w="72" w:type="dxa"/>
              <w:right w:w="144" w:type="dxa"/>
            </w:tcMar>
            <w:vAlign w:val="center"/>
          </w:tcPr>
          <w:p>
            <w:pPr>
              <w:rPr>
                <w:rFonts w:ascii="宋体" w:hAnsi="宋体"/>
                <w:szCs w:val="21"/>
              </w:rPr>
            </w:pPr>
            <w:r>
              <w:rPr>
                <w:rFonts w:hint="eastAsia" w:ascii="宋体" w:hAnsi="宋体"/>
                <w:b/>
                <w:color w:val="FF0000"/>
                <w:szCs w:val="21"/>
                <w:u w:val="single"/>
              </w:rPr>
              <w:t>颁布国家药品标准的中药饮片（另有规定的除外）</w:t>
            </w:r>
            <w:r>
              <w:rPr>
                <w:rFonts w:hint="eastAsia" w:ascii="宋体" w:hAnsi="宋体"/>
                <w:szCs w:val="21"/>
              </w:rPr>
              <w:t xml:space="preserve">，不列具体品种 </w:t>
            </w:r>
          </w:p>
        </w:tc>
        <w:tc>
          <w:tcPr>
            <w:tcW w:w="6080" w:type="dxa"/>
            <w:shd w:val="clear" w:color="auto" w:fill="auto"/>
            <w:noWrap w:val="0"/>
            <w:tcMar>
              <w:top w:w="72" w:type="dxa"/>
              <w:left w:w="144" w:type="dxa"/>
              <w:bottom w:w="72" w:type="dxa"/>
              <w:right w:w="144" w:type="dxa"/>
            </w:tcMar>
            <w:vAlign w:val="center"/>
          </w:tcPr>
          <w:p>
            <w:pPr>
              <w:rPr>
                <w:rFonts w:ascii="宋体" w:hAnsi="宋体"/>
                <w:szCs w:val="21"/>
              </w:rPr>
            </w:pPr>
            <w:r>
              <w:rPr>
                <w:rFonts w:hint="eastAsia" w:ascii="宋体" w:hAnsi="宋体"/>
                <w:szCs w:val="21"/>
              </w:rPr>
              <w:t>①中药饮片采用</w:t>
            </w:r>
            <w:r>
              <w:rPr>
                <w:rFonts w:hint="eastAsia" w:ascii="宋体" w:hAnsi="宋体"/>
                <w:b/>
                <w:color w:val="FF0000"/>
                <w:szCs w:val="21"/>
                <w:u w:val="single"/>
              </w:rPr>
              <w:t>准入法</w:t>
            </w:r>
            <w:r>
              <w:rPr>
                <w:rFonts w:hint="eastAsia" w:ascii="宋体" w:hAnsi="宋体"/>
                <w:szCs w:val="21"/>
              </w:rPr>
              <w:t>管理，专</w:t>
            </w:r>
            <w:r>
              <w:rPr>
                <w:rFonts w:hint="eastAsia" w:ascii="宋体" w:hAnsi="宋体"/>
                <w:b/>
                <w:color w:val="FF0000"/>
                <w:szCs w:val="21"/>
                <w:u w:val="single"/>
              </w:rPr>
              <w:t>家评审</w:t>
            </w:r>
            <w:r>
              <w:rPr>
                <w:rFonts w:hint="eastAsia" w:ascii="宋体" w:hAnsi="宋体"/>
                <w:szCs w:val="21"/>
              </w:rPr>
              <w:t>产生（有国家药品标准）</w:t>
            </w:r>
          </w:p>
          <w:p>
            <w:pPr>
              <w:rPr>
                <w:rFonts w:ascii="宋体" w:hAnsi="宋体"/>
                <w:szCs w:val="21"/>
              </w:rPr>
            </w:pPr>
            <w:r>
              <w:rPr>
                <w:rFonts w:hint="eastAsia" w:ascii="宋体" w:hAnsi="宋体"/>
                <w:szCs w:val="21"/>
              </w:rPr>
              <w:t>②国家层面调整的对象</w:t>
            </w:r>
            <w:r>
              <w:rPr>
                <w:rFonts w:hint="eastAsia" w:ascii="宋体" w:hAnsi="宋体"/>
                <w:b/>
                <w:color w:val="FF0000"/>
                <w:szCs w:val="21"/>
                <w:u w:val="single"/>
              </w:rPr>
              <w:t>仅限</w:t>
            </w:r>
            <w:r>
              <w:rPr>
                <w:rFonts w:hint="eastAsia" w:ascii="宋体" w:hAnsi="宋体"/>
                <w:szCs w:val="21"/>
              </w:rPr>
              <w:t>按国家药品标准炮制的中药饮片</w:t>
            </w:r>
          </w:p>
          <w:p>
            <w:pPr>
              <w:rPr>
                <w:rFonts w:ascii="宋体" w:hAnsi="宋体"/>
                <w:szCs w:val="21"/>
              </w:rPr>
            </w:pPr>
            <w:r>
              <w:rPr>
                <w:rFonts w:hint="eastAsia" w:ascii="宋体" w:hAnsi="宋体"/>
                <w:szCs w:val="21"/>
              </w:rPr>
              <w:t>③医保药品目录中列出了</w:t>
            </w:r>
            <w:r>
              <w:rPr>
                <w:rFonts w:hint="eastAsia" w:ascii="宋体" w:hAnsi="宋体"/>
                <w:b/>
                <w:color w:val="FF0000"/>
                <w:szCs w:val="21"/>
                <w:u w:val="single"/>
              </w:rPr>
              <w:t>准予支付的中药饮片</w:t>
            </w:r>
            <w:r>
              <w:rPr>
                <w:rFonts w:hint="eastAsia" w:ascii="宋体" w:hAnsi="宋体"/>
                <w:szCs w:val="21"/>
              </w:rPr>
              <w:t>，同时列出了</w:t>
            </w:r>
            <w:r>
              <w:rPr>
                <w:rFonts w:hint="eastAsia" w:ascii="宋体" w:hAnsi="宋体"/>
                <w:b/>
                <w:color w:val="FF0000"/>
                <w:szCs w:val="21"/>
                <w:u w:val="single"/>
              </w:rPr>
              <w:t>不得纳入基金支付</w:t>
            </w:r>
            <w:r>
              <w:rPr>
                <w:rFonts w:hint="eastAsia" w:ascii="宋体" w:hAnsi="宋体"/>
                <w:szCs w:val="21"/>
              </w:rPr>
              <w:t>的饮片范围</w:t>
            </w:r>
          </w:p>
          <w:p>
            <w:pPr>
              <w:rPr>
                <w:rFonts w:ascii="宋体" w:hAnsi="宋体"/>
                <w:szCs w:val="21"/>
              </w:rPr>
            </w:pPr>
            <w:r>
              <w:rPr>
                <w:rFonts w:hint="eastAsia" w:ascii="宋体" w:hAnsi="宋体"/>
                <w:szCs w:val="21"/>
              </w:rPr>
              <w:t>④其他的可以经审评进</w:t>
            </w:r>
            <w:r>
              <w:rPr>
                <w:rFonts w:hint="eastAsia" w:ascii="宋体" w:hAnsi="宋体"/>
                <w:b/>
                <w:color w:val="FF0000"/>
                <w:szCs w:val="21"/>
                <w:u w:val="single"/>
              </w:rPr>
              <w:t xml:space="preserve">省医保基金支付范围 </w:t>
            </w:r>
          </w:p>
        </w:tc>
      </w:tr>
    </w:tbl>
    <w:p>
      <w:pPr>
        <w:rPr>
          <w:rFonts w:ascii="宋体" w:hAnsi="宋体"/>
          <w:b/>
          <w:color w:val="FF0000"/>
          <w:szCs w:val="21"/>
          <w:u w:val="single"/>
        </w:rPr>
      </w:pPr>
      <w:r>
        <w:rPr>
          <w:rFonts w:ascii="宋体" w:hAnsi="宋体"/>
          <w:b/>
          <w:color w:val="FF0000"/>
          <w:szCs w:val="21"/>
          <w:u w:val="single"/>
        </w:rPr>
        <w:t xml:space="preserve">对比记忆：（医保饮片列两类，基本药物不用列） </w:t>
      </w:r>
    </w:p>
    <w:p>
      <w:pPr>
        <w:rPr>
          <w:rFonts w:ascii="宋体" w:hAnsi="宋体"/>
          <w:szCs w:val="21"/>
        </w:rPr>
      </w:pPr>
      <w:r>
        <w:rPr>
          <w:rFonts w:ascii="宋体" w:hAnsi="宋体"/>
          <w:szCs w:val="21"/>
        </w:rPr>
        <w:t>20.应经单独论证才能纳入《国家基本药物目录》遴选范围的是</w:t>
      </w:r>
    </w:p>
    <w:p>
      <w:pPr>
        <w:rPr>
          <w:rFonts w:ascii="宋体" w:hAnsi="宋体"/>
          <w:szCs w:val="21"/>
        </w:rPr>
      </w:pPr>
      <w:r>
        <w:rPr>
          <w:rFonts w:ascii="宋体" w:hAnsi="宋体"/>
          <w:szCs w:val="21"/>
        </w:rPr>
        <w:t>A.含有国家濒危野生动物植物药材的中成药</w:t>
      </w:r>
    </w:p>
    <w:p>
      <w:pPr>
        <w:rPr>
          <w:rFonts w:ascii="宋体" w:hAnsi="宋体"/>
          <w:szCs w:val="21"/>
        </w:rPr>
      </w:pPr>
      <w:r>
        <w:rPr>
          <w:rFonts w:ascii="宋体" w:hAnsi="宋体"/>
          <w:szCs w:val="21"/>
        </w:rPr>
        <w:t>B.非临床治疗首选的化学药品</w:t>
      </w:r>
    </w:p>
    <w:p>
      <w:pPr>
        <w:rPr>
          <w:rFonts w:ascii="宋体" w:hAnsi="宋体"/>
          <w:szCs w:val="21"/>
        </w:rPr>
      </w:pPr>
      <w:r>
        <w:rPr>
          <w:rFonts w:ascii="宋体" w:hAnsi="宋体"/>
          <w:szCs w:val="21"/>
        </w:rPr>
        <w:t>C.除急救、抢救用药外的独家生产品种</w:t>
      </w:r>
    </w:p>
    <w:p>
      <w:pPr>
        <w:rPr>
          <w:rFonts w:ascii="宋体" w:hAnsi="宋体"/>
          <w:szCs w:val="21"/>
        </w:rPr>
      </w:pPr>
      <w:r>
        <w:rPr>
          <w:rFonts w:ascii="宋体" w:hAnsi="宋体"/>
          <w:szCs w:val="21"/>
        </w:rPr>
        <w:t xml:space="preserve">D.易滥用的、主要用于滋补保健作用的中成药 </w:t>
      </w:r>
    </w:p>
    <w:p>
      <w:pPr>
        <w:rPr>
          <w:rFonts w:ascii="宋体" w:hAnsi="宋体"/>
          <w:szCs w:val="21"/>
        </w:rPr>
      </w:pPr>
    </w:p>
    <w:p>
      <w:pPr>
        <w:rPr>
          <w:rFonts w:ascii="宋体" w:hAnsi="宋体"/>
          <w:szCs w:val="21"/>
        </w:rPr>
      </w:pPr>
      <w:r>
        <w:rPr>
          <w:rFonts w:ascii="宋体" w:hAnsi="宋体"/>
          <w:szCs w:val="21"/>
        </w:rPr>
        <w:t>21.根据《 执业药师职业资格制度规定》 和《 执业药师职业资格考试实施办法》， 关于执业药师职业资格考试新规定的说法，错误的是</w:t>
      </w:r>
    </w:p>
    <w:p>
      <w:pPr>
        <w:rPr>
          <w:rFonts w:ascii="宋体" w:hAnsi="宋体"/>
          <w:szCs w:val="21"/>
        </w:rPr>
      </w:pPr>
      <w:r>
        <w:rPr>
          <w:rFonts w:ascii="宋体" w:hAnsi="宋体"/>
          <w:szCs w:val="21"/>
        </w:rPr>
        <w:t>A. 中专学历考生2020年12月31日之后不允许参加执业药师职业资格考试</w:t>
      </w:r>
    </w:p>
    <w:p>
      <w:pPr>
        <w:rPr>
          <w:rFonts w:ascii="宋体" w:hAnsi="宋体"/>
          <w:szCs w:val="21"/>
        </w:rPr>
      </w:pPr>
      <w:r>
        <w:rPr>
          <w:rFonts w:ascii="宋体" w:hAnsi="宋体"/>
          <w:szCs w:val="21"/>
        </w:rPr>
        <w:t>B. 药学类、中药学类相关专业大专学历， 在药学或中药学岗位工作满5年可报考执业药师职业资格考试</w:t>
      </w:r>
    </w:p>
    <w:p>
      <w:pPr>
        <w:rPr>
          <w:rFonts w:ascii="宋体" w:hAnsi="宋体"/>
          <w:szCs w:val="21"/>
        </w:rPr>
      </w:pPr>
      <w:r>
        <w:rPr>
          <w:rFonts w:ascii="宋体" w:hAnsi="宋体"/>
          <w:szCs w:val="21"/>
        </w:rPr>
        <w:t>C. 考试成绩管理以四年为一个周期， 免试部分科目人员须在连续2个考试年度内通过应试科目</w:t>
      </w:r>
    </w:p>
    <w:p>
      <w:pPr>
        <w:rPr>
          <w:rFonts w:ascii="宋体" w:hAnsi="宋体"/>
          <w:szCs w:val="21"/>
        </w:rPr>
      </w:pPr>
      <w:r>
        <w:rPr>
          <w:rFonts w:ascii="宋体" w:hAnsi="宋体"/>
          <w:szCs w:val="21"/>
        </w:rPr>
        <w:t xml:space="preserve">D. 按国家有关规定取得药学或医学专业髙级职称并在药学岗位工作， 可以参加免试部分药学科目的执业药师职业资格考试 </w:t>
      </w:r>
    </w:p>
    <w:p>
      <w:pPr>
        <w:rPr>
          <w:rFonts w:ascii="宋体" w:hAnsi="宋体"/>
          <w:szCs w:val="21"/>
        </w:rPr>
      </w:pPr>
    </w:p>
    <w:p>
      <w:pPr>
        <w:rPr>
          <w:rFonts w:ascii="宋体" w:hAnsi="宋体"/>
          <w:szCs w:val="21"/>
        </w:rPr>
      </w:pPr>
      <w:r>
        <w:rPr>
          <w:rFonts w:ascii="宋体" w:hAnsi="宋体"/>
          <w:szCs w:val="21"/>
        </w:rPr>
        <w:t>22.以下说法错误的是</w:t>
      </w:r>
    </w:p>
    <w:p>
      <w:pPr>
        <w:rPr>
          <w:rFonts w:ascii="宋体" w:hAnsi="宋体"/>
          <w:szCs w:val="21"/>
        </w:rPr>
      </w:pPr>
      <w:r>
        <w:rPr>
          <w:rFonts w:ascii="宋体" w:hAnsi="宋体"/>
          <w:szCs w:val="21"/>
        </w:rPr>
        <w:t>A.地方性法规与部门规章之间对同一事项的规定不一致时，由全国人民代表大会常务委员会提出意见，全国人民代表大会常务委员会认为应当适用地方性法规的，应当决定适用地方性法规</w:t>
      </w:r>
    </w:p>
    <w:p>
      <w:pPr>
        <w:rPr>
          <w:rFonts w:ascii="宋体" w:hAnsi="宋体"/>
          <w:szCs w:val="21"/>
        </w:rPr>
      </w:pPr>
      <w:r>
        <w:rPr>
          <w:rFonts w:ascii="宋体" w:hAnsi="宋体"/>
          <w:szCs w:val="21"/>
        </w:rPr>
        <w:t>B.同一机关制定的新的一般规定与旧的特别规定不一致时，由制定机关裁决</w:t>
      </w:r>
    </w:p>
    <w:p>
      <w:pPr>
        <w:rPr>
          <w:rFonts w:ascii="宋体" w:hAnsi="宋体"/>
          <w:szCs w:val="21"/>
        </w:rPr>
      </w:pPr>
      <w:r>
        <w:rPr>
          <w:rFonts w:ascii="宋体" w:hAnsi="宋体"/>
          <w:szCs w:val="21"/>
        </w:rPr>
        <w:t>C.部门规章之间、部门规章与地方政府规章之间对同一事项的规定不一致时，由国务院裁决</w:t>
      </w:r>
    </w:p>
    <w:p>
      <w:pPr>
        <w:rPr>
          <w:rFonts w:ascii="宋体" w:hAnsi="宋体"/>
          <w:szCs w:val="21"/>
        </w:rPr>
      </w:pPr>
      <w:r>
        <w:rPr>
          <w:rFonts w:ascii="宋体" w:hAnsi="宋体"/>
          <w:szCs w:val="21"/>
        </w:rPr>
        <w:t xml:space="preserve">D.根据授权制定的法规与法律规定不一致时，由全国人民代表大会常务委员会裁决 </w:t>
      </w:r>
    </w:p>
    <w:tbl>
      <w:tblPr>
        <w:tblStyle w:val="7"/>
        <w:tblW w:w="87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65"/>
        <w:gridCol w:w="6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4" w:hRule="atLeast"/>
        </w:trPr>
        <w:tc>
          <w:tcPr>
            <w:tcW w:w="1965" w:type="dxa"/>
            <w:vMerge w:val="restart"/>
            <w:shd w:val="clear" w:color="auto" w:fill="auto"/>
            <w:noWrap w:val="0"/>
            <w:tcMar>
              <w:top w:w="72" w:type="dxa"/>
              <w:left w:w="144" w:type="dxa"/>
              <w:bottom w:w="72" w:type="dxa"/>
              <w:right w:w="144" w:type="dxa"/>
            </w:tcMar>
            <w:vAlign w:val="top"/>
          </w:tcPr>
          <w:p>
            <w:pPr>
              <w:rPr>
                <w:rFonts w:hint="eastAsia" w:ascii="宋体" w:hAnsi="宋体"/>
                <w:szCs w:val="21"/>
              </w:rPr>
            </w:pPr>
          </w:p>
          <w:p>
            <w:pPr>
              <w:rPr>
                <w:rFonts w:ascii="宋体" w:hAnsi="宋体"/>
                <w:szCs w:val="21"/>
              </w:rPr>
            </w:pPr>
            <w:r>
              <w:rPr>
                <w:rFonts w:hint="eastAsia" w:ascii="宋体" w:hAnsi="宋体"/>
                <w:szCs w:val="21"/>
              </w:rPr>
              <w:t xml:space="preserve">国务院裁决 </w:t>
            </w:r>
          </w:p>
        </w:tc>
        <w:tc>
          <w:tcPr>
            <w:tcW w:w="6834"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b/>
                <w:color w:val="FF0000"/>
                <w:szCs w:val="21"/>
                <w:u w:val="single"/>
              </w:rPr>
              <w:t>行政法规之间</w:t>
            </w:r>
            <w:r>
              <w:rPr>
                <w:rFonts w:hint="eastAsia" w:ascii="宋体" w:hAnsi="宋体"/>
                <w:szCs w:val="21"/>
              </w:rPr>
              <w:t xml:space="preserve">→新的一般，旧的特别，不一致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4" w:hRule="atLeast"/>
        </w:trPr>
        <w:tc>
          <w:tcPr>
            <w:tcW w:w="1965" w:type="dxa"/>
            <w:vMerge w:val="continue"/>
            <w:shd w:val="clear" w:color="auto" w:fill="auto"/>
            <w:noWrap w:val="0"/>
            <w:vAlign w:val="center"/>
          </w:tcPr>
          <w:p>
            <w:pPr>
              <w:rPr>
                <w:rFonts w:ascii="宋体" w:hAnsi="宋体"/>
                <w:szCs w:val="21"/>
              </w:rPr>
            </w:pPr>
          </w:p>
        </w:tc>
        <w:tc>
          <w:tcPr>
            <w:tcW w:w="6834"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szCs w:val="21"/>
              </w:rPr>
              <w:t>地方性法规与部门规章冲突，国务院认为应当适用</w:t>
            </w:r>
            <w:r>
              <w:rPr>
                <w:rFonts w:hint="eastAsia" w:ascii="宋体" w:hAnsi="宋体"/>
                <w:b/>
                <w:color w:val="FF0000"/>
                <w:szCs w:val="21"/>
                <w:u w:val="single"/>
              </w:rPr>
              <w:t>地方性法规</w:t>
            </w:r>
            <w:r>
              <w:rPr>
                <w:rFonts w:hint="eastAsia" w:ascii="宋体" w:hAnsi="宋体"/>
                <w:szCs w:val="21"/>
              </w:rPr>
              <w:t xml:space="preserve">的，应当决定适用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4" w:hRule="atLeast"/>
        </w:trPr>
        <w:tc>
          <w:tcPr>
            <w:tcW w:w="1965" w:type="dxa"/>
            <w:vMerge w:val="continue"/>
            <w:shd w:val="clear" w:color="auto" w:fill="auto"/>
            <w:noWrap w:val="0"/>
            <w:vAlign w:val="center"/>
          </w:tcPr>
          <w:p>
            <w:pPr>
              <w:rPr>
                <w:rFonts w:ascii="宋体" w:hAnsi="宋体"/>
                <w:szCs w:val="21"/>
              </w:rPr>
            </w:pPr>
          </w:p>
        </w:tc>
        <w:tc>
          <w:tcPr>
            <w:tcW w:w="6834"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部门规章之间、部门规章与地方政府规章冲突，国务院裁决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4" w:hRule="atLeast"/>
        </w:trPr>
        <w:tc>
          <w:tcPr>
            <w:tcW w:w="1965" w:type="dxa"/>
            <w:vMerge w:val="restart"/>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全国人民代表大会常务委员会 </w:t>
            </w:r>
          </w:p>
        </w:tc>
        <w:tc>
          <w:tcPr>
            <w:tcW w:w="6834"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b/>
                <w:color w:val="FF0000"/>
                <w:szCs w:val="21"/>
                <w:u w:val="single"/>
              </w:rPr>
              <w:t>法律</w:t>
            </w:r>
            <w:r>
              <w:rPr>
                <w:rFonts w:hint="eastAsia" w:ascii="宋体" w:hAnsi="宋体"/>
                <w:szCs w:val="21"/>
              </w:rPr>
              <w:t xml:space="preserve">之间→新的一般，旧的特别，不一致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4" w:hRule="atLeast"/>
        </w:trPr>
        <w:tc>
          <w:tcPr>
            <w:tcW w:w="1965" w:type="dxa"/>
            <w:vMerge w:val="continue"/>
            <w:shd w:val="clear" w:color="auto" w:fill="auto"/>
            <w:noWrap w:val="0"/>
            <w:vAlign w:val="center"/>
          </w:tcPr>
          <w:p>
            <w:pPr>
              <w:rPr>
                <w:rFonts w:ascii="宋体" w:hAnsi="宋体"/>
                <w:szCs w:val="21"/>
              </w:rPr>
            </w:pPr>
          </w:p>
        </w:tc>
        <w:tc>
          <w:tcPr>
            <w:tcW w:w="6834"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szCs w:val="21"/>
              </w:rPr>
              <w:t>地方性法规与部门规章冲突，</w:t>
            </w:r>
            <w:r>
              <w:rPr>
                <w:rFonts w:hint="eastAsia" w:ascii="宋体" w:hAnsi="宋体"/>
                <w:b/>
                <w:color w:val="FF0000"/>
                <w:szCs w:val="21"/>
                <w:u w:val="single"/>
              </w:rPr>
              <w:t>国务院</w:t>
            </w:r>
            <w:r>
              <w:rPr>
                <w:rFonts w:hint="eastAsia" w:ascii="宋体" w:hAnsi="宋体"/>
                <w:szCs w:val="21"/>
              </w:rPr>
              <w:t xml:space="preserve">认为应当适用部门规章的，提请人大裁决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4" w:hRule="atLeast"/>
        </w:trPr>
        <w:tc>
          <w:tcPr>
            <w:tcW w:w="1965" w:type="dxa"/>
            <w:vMerge w:val="continue"/>
            <w:shd w:val="clear" w:color="auto" w:fill="auto"/>
            <w:noWrap w:val="0"/>
            <w:vAlign w:val="center"/>
          </w:tcPr>
          <w:p>
            <w:pPr>
              <w:rPr>
                <w:rFonts w:ascii="宋体" w:hAnsi="宋体"/>
                <w:szCs w:val="21"/>
              </w:rPr>
            </w:pPr>
          </w:p>
        </w:tc>
        <w:tc>
          <w:tcPr>
            <w:tcW w:w="6834" w:type="dxa"/>
            <w:shd w:val="clear" w:color="auto" w:fill="auto"/>
            <w:noWrap w:val="0"/>
            <w:tcMar>
              <w:top w:w="72" w:type="dxa"/>
              <w:left w:w="144" w:type="dxa"/>
              <w:bottom w:w="72" w:type="dxa"/>
              <w:right w:w="144" w:type="dxa"/>
            </w:tcMar>
            <w:vAlign w:val="top"/>
          </w:tcPr>
          <w:p>
            <w:pPr>
              <w:rPr>
                <w:rFonts w:ascii="宋体" w:hAnsi="宋体"/>
                <w:b/>
                <w:color w:val="FF0000"/>
                <w:szCs w:val="21"/>
                <w:u w:val="single"/>
              </w:rPr>
            </w:pPr>
            <w:r>
              <w:rPr>
                <w:rFonts w:hint="eastAsia" w:ascii="宋体" w:hAnsi="宋体"/>
                <w:b/>
                <w:color w:val="FF0000"/>
                <w:szCs w:val="21"/>
                <w:u w:val="single"/>
              </w:rPr>
              <w:t xml:space="preserve">法规与法律规定冲突 </w:t>
            </w:r>
          </w:p>
        </w:tc>
      </w:tr>
    </w:tbl>
    <w:p>
      <w:pPr>
        <w:rPr>
          <w:rFonts w:ascii="宋体" w:hAnsi="宋体"/>
          <w:b/>
          <w:color w:val="FF0000"/>
          <w:szCs w:val="21"/>
          <w:u w:val="single"/>
        </w:rPr>
      </w:pPr>
      <w:r>
        <w:rPr>
          <w:rFonts w:hint="eastAsia" w:ascii="宋体" w:hAnsi="宋体"/>
          <w:b/>
          <w:color w:val="FF0000"/>
          <w:szCs w:val="21"/>
          <w:u w:val="single"/>
        </w:rPr>
        <w:t xml:space="preserve">记忆提醒：法律是人大制定的，行政法规是国务院制定！ </w:t>
      </w:r>
    </w:p>
    <w:p>
      <w:pPr>
        <w:rPr>
          <w:rFonts w:ascii="宋体" w:hAnsi="宋体"/>
          <w:szCs w:val="21"/>
        </w:rPr>
      </w:pPr>
      <w:r>
        <w:rPr>
          <w:rFonts w:ascii="宋体" w:hAnsi="宋体"/>
          <w:szCs w:val="21"/>
        </w:rPr>
        <w:t>23.药品管理法律体系按照法律效力等级由高到低排序，正确的是</w:t>
      </w:r>
    </w:p>
    <w:p>
      <w:pPr>
        <w:rPr>
          <w:rFonts w:ascii="宋体" w:hAnsi="宋体"/>
          <w:szCs w:val="21"/>
        </w:rPr>
      </w:pPr>
      <w:r>
        <w:rPr>
          <w:rFonts w:ascii="宋体" w:hAnsi="宋体"/>
          <w:szCs w:val="21"/>
        </w:rPr>
        <w:t>A.法律、行政法规、部门规章、规范性文件</w:t>
      </w:r>
    </w:p>
    <w:p>
      <w:pPr>
        <w:rPr>
          <w:rFonts w:ascii="宋体" w:hAnsi="宋体"/>
          <w:szCs w:val="21"/>
        </w:rPr>
      </w:pPr>
      <w:r>
        <w:rPr>
          <w:rFonts w:ascii="宋体" w:hAnsi="宋体"/>
          <w:szCs w:val="21"/>
        </w:rPr>
        <w:t>B.法律、部门规章、行政法规、规范性文件</w:t>
      </w:r>
    </w:p>
    <w:p>
      <w:pPr>
        <w:rPr>
          <w:rFonts w:ascii="宋体" w:hAnsi="宋体"/>
          <w:szCs w:val="21"/>
        </w:rPr>
      </w:pPr>
      <w:r>
        <w:rPr>
          <w:rFonts w:ascii="宋体" w:hAnsi="宋体"/>
          <w:szCs w:val="21"/>
        </w:rPr>
        <w:t>C.部门规章、行政法规、规范性文件、法律</w:t>
      </w:r>
    </w:p>
    <w:p>
      <w:pPr>
        <w:rPr>
          <w:rFonts w:ascii="宋体" w:hAnsi="宋体"/>
          <w:szCs w:val="21"/>
        </w:rPr>
      </w:pPr>
      <w:r>
        <w:rPr>
          <w:rFonts w:ascii="宋体" w:hAnsi="宋体"/>
          <w:szCs w:val="21"/>
        </w:rPr>
        <w:t xml:space="preserve">D.规范性文件、部门规章、行政法规、法律 </w:t>
      </w:r>
    </w:p>
    <w:p>
      <w:pPr>
        <w:rPr>
          <w:rFonts w:ascii="宋体" w:hAnsi="宋体"/>
          <w:szCs w:val="21"/>
        </w:rPr>
      </w:pPr>
    </w:p>
    <w:p>
      <w:pPr>
        <w:rPr>
          <w:rFonts w:ascii="宋体" w:hAnsi="宋体"/>
          <w:szCs w:val="21"/>
        </w:rPr>
      </w:pPr>
      <w:r>
        <w:rPr>
          <w:rFonts w:ascii="宋体" w:hAnsi="宋体"/>
          <w:szCs w:val="21"/>
        </w:rPr>
        <w:t>24.根据《中华人民共和国行政复议法》，不属于可申请复议的情形是</w:t>
      </w:r>
    </w:p>
    <w:p>
      <w:pPr>
        <w:rPr>
          <w:rFonts w:ascii="宋体" w:hAnsi="宋体"/>
          <w:szCs w:val="21"/>
        </w:rPr>
      </w:pPr>
      <w:r>
        <w:rPr>
          <w:rFonts w:ascii="宋体" w:hAnsi="宋体"/>
          <w:szCs w:val="21"/>
        </w:rPr>
        <w:t>A.对行政机关作出的处罚、没收违法所得的行政行为不服的</w:t>
      </w:r>
    </w:p>
    <w:p>
      <w:pPr>
        <w:rPr>
          <w:rFonts w:ascii="宋体" w:hAnsi="宋体"/>
          <w:szCs w:val="21"/>
        </w:rPr>
      </w:pPr>
      <w:r>
        <w:rPr>
          <w:rFonts w:ascii="宋体" w:hAnsi="宋体"/>
          <w:szCs w:val="21"/>
        </w:rPr>
        <w:t>B.对行政机关作出的暂扣许可证的行政行为不服的</w:t>
      </w:r>
    </w:p>
    <w:p>
      <w:pPr>
        <w:rPr>
          <w:rFonts w:ascii="宋体" w:hAnsi="宋体"/>
          <w:szCs w:val="21"/>
        </w:rPr>
      </w:pPr>
      <w:r>
        <w:rPr>
          <w:rFonts w:ascii="宋体" w:hAnsi="宋体"/>
          <w:szCs w:val="21"/>
        </w:rPr>
        <w:t>C.对行政机关的行政处分不服的</w:t>
      </w:r>
    </w:p>
    <w:p>
      <w:pPr>
        <w:rPr>
          <w:rFonts w:ascii="宋体" w:hAnsi="宋体"/>
          <w:szCs w:val="21"/>
        </w:rPr>
      </w:pPr>
      <w:r>
        <w:rPr>
          <w:rFonts w:ascii="宋体" w:hAnsi="宋体"/>
          <w:szCs w:val="21"/>
        </w:rPr>
        <w:t xml:space="preserve">D.对行政机关作出的对财产的查封、扣押、冻结的行政行为不服的 </w:t>
      </w:r>
    </w:p>
    <w:p>
      <w:pPr>
        <w:rPr>
          <w:rFonts w:ascii="宋体" w:hAnsi="宋体"/>
          <w:szCs w:val="21"/>
        </w:rPr>
      </w:pPr>
    </w:p>
    <w:p>
      <w:pPr>
        <w:rPr>
          <w:rFonts w:ascii="宋体" w:hAnsi="宋体"/>
          <w:szCs w:val="21"/>
        </w:rPr>
      </w:pPr>
      <w:r>
        <w:rPr>
          <w:rFonts w:ascii="宋体" w:hAnsi="宋体"/>
          <w:szCs w:val="21"/>
        </w:rPr>
        <w:t>25.根据《中华人民共和国行政诉讼法》,公民、法人或其他组织认为行政机关或法律法规授权的组织作出的行政行为侵犯其合法权益时,可依法定程序向人民法院提起诉讼，但有部分事项不属于法院行政诉讼受案范围。下列情形中，不属于行政诉讼受案范围的是</w:t>
      </w:r>
    </w:p>
    <w:p>
      <w:pPr>
        <w:rPr>
          <w:rFonts w:ascii="宋体" w:hAnsi="宋体"/>
          <w:szCs w:val="21"/>
        </w:rPr>
      </w:pPr>
      <w:r>
        <w:rPr>
          <w:rFonts w:ascii="宋体" w:hAnsi="宋体"/>
          <w:szCs w:val="21"/>
        </w:rPr>
        <w:t>A.甲认为《药品流通监督管理办法》中部分条款内容不合理，影响企业发展，对此不服提起诉讼</w:t>
      </w:r>
    </w:p>
    <w:p>
      <w:pPr>
        <w:rPr>
          <w:rFonts w:ascii="宋体" w:hAnsi="宋体"/>
          <w:szCs w:val="21"/>
        </w:rPr>
      </w:pPr>
      <w:r>
        <w:rPr>
          <w:rFonts w:ascii="宋体" w:hAnsi="宋体"/>
          <w:szCs w:val="21"/>
        </w:rPr>
        <w:t>B.乙对当地药品监督管理部门对其作出的不同意开办药品生产企业的决定不服提起诉讼</w:t>
      </w:r>
    </w:p>
    <w:p>
      <w:pPr>
        <w:rPr>
          <w:rFonts w:ascii="宋体" w:hAnsi="宋体"/>
          <w:szCs w:val="21"/>
        </w:rPr>
      </w:pPr>
      <w:r>
        <w:rPr>
          <w:rFonts w:ascii="宋体" w:hAnsi="宋体"/>
          <w:szCs w:val="21"/>
        </w:rPr>
        <w:t>C.丙对当地药品监督管理部门对其作出的没收违法所得的行政处罚决定不服提起诉讼</w:t>
      </w:r>
    </w:p>
    <w:p>
      <w:pPr>
        <w:rPr>
          <w:rFonts w:ascii="宋体" w:hAnsi="宋体"/>
          <w:szCs w:val="21"/>
        </w:rPr>
      </w:pPr>
      <w:r>
        <w:rPr>
          <w:rFonts w:ascii="宋体" w:hAnsi="宋体"/>
          <w:szCs w:val="21"/>
        </w:rPr>
        <w:t xml:space="preserve">D.丁对当地药品监督管理部门查封、扣押其药品的行为不服提起诉讼 </w:t>
      </w:r>
    </w:p>
    <w:p>
      <w:pPr>
        <w:rPr>
          <w:rFonts w:ascii="宋体" w:hAnsi="宋体"/>
          <w:b/>
          <w:color w:val="FF0000"/>
          <w:szCs w:val="21"/>
          <w:u w:val="single"/>
        </w:rPr>
      </w:pPr>
    </w:p>
    <w:p>
      <w:pPr>
        <w:rPr>
          <w:rFonts w:ascii="宋体" w:hAnsi="宋体"/>
          <w:b/>
          <w:color w:val="FF0000"/>
          <w:szCs w:val="21"/>
          <w:u w:val="single"/>
        </w:rPr>
      </w:pPr>
      <w:r>
        <w:rPr>
          <w:rFonts w:ascii="宋体" w:hAnsi="宋体"/>
          <w:b/>
          <w:color w:val="FF0000"/>
          <w:szCs w:val="21"/>
          <w:u w:val="single"/>
        </w:rPr>
        <w:t xml:space="preserve">配伍选择题 </w:t>
      </w:r>
    </w:p>
    <w:p>
      <w:pPr>
        <w:rPr>
          <w:rFonts w:ascii="宋体" w:hAnsi="宋体"/>
          <w:szCs w:val="21"/>
        </w:rPr>
      </w:pPr>
      <w:r>
        <w:rPr>
          <w:rFonts w:ascii="宋体" w:hAnsi="宋体"/>
          <w:szCs w:val="21"/>
        </w:rPr>
        <w:t>A.根据药物经济学评价,可被成本效益比更优的品种所替代的药品</w:t>
      </w:r>
    </w:p>
    <w:p>
      <w:pPr>
        <w:rPr>
          <w:rFonts w:ascii="宋体" w:hAnsi="宋体"/>
          <w:szCs w:val="21"/>
        </w:rPr>
      </w:pPr>
      <w:r>
        <w:rPr>
          <w:rFonts w:ascii="宋体" w:hAnsi="宋体"/>
          <w:szCs w:val="21"/>
        </w:rPr>
        <w:t>B.有效性和安全性证据明确、成本效益比现有基本药物更优的药品</w:t>
      </w:r>
    </w:p>
    <w:p>
      <w:pPr>
        <w:rPr>
          <w:rFonts w:ascii="宋体" w:hAnsi="宋体"/>
          <w:szCs w:val="21"/>
        </w:rPr>
      </w:pPr>
      <w:r>
        <w:rPr>
          <w:rFonts w:ascii="宋体" w:hAnsi="宋体"/>
          <w:szCs w:val="21"/>
        </w:rPr>
        <w:t>C.除急救、抢救用药外的独家生产药品品种</w:t>
      </w:r>
    </w:p>
    <w:p>
      <w:pPr>
        <w:rPr>
          <w:rFonts w:ascii="宋体" w:hAnsi="宋体"/>
          <w:szCs w:val="21"/>
        </w:rPr>
      </w:pPr>
      <w:r>
        <w:rPr>
          <w:rFonts w:ascii="宋体" w:hAnsi="宋体"/>
          <w:szCs w:val="21"/>
        </w:rPr>
        <w:t>D.主要用于滋补保健作用、易滥用的药品</w:t>
      </w:r>
    </w:p>
    <w:p>
      <w:pPr>
        <w:rPr>
          <w:rFonts w:ascii="宋体" w:hAnsi="宋体"/>
          <w:szCs w:val="21"/>
        </w:rPr>
      </w:pPr>
      <w:r>
        <w:rPr>
          <w:rFonts w:ascii="宋体" w:hAnsi="宋体"/>
          <w:szCs w:val="21"/>
        </w:rPr>
        <w:t>根据《国家基本药物目录管理办法》</w:t>
      </w:r>
    </w:p>
    <w:p>
      <w:pPr>
        <w:rPr>
          <w:rFonts w:ascii="宋体" w:hAnsi="宋体"/>
          <w:szCs w:val="21"/>
        </w:rPr>
      </w:pPr>
      <w:r>
        <w:rPr>
          <w:rFonts w:ascii="宋体" w:hAnsi="宋体"/>
          <w:szCs w:val="21"/>
        </w:rPr>
        <w:t>26.不纳入国家基本药物目录遴选范围的是</w:t>
      </w:r>
    </w:p>
    <w:p>
      <w:pPr>
        <w:rPr>
          <w:rFonts w:ascii="宋体" w:hAnsi="宋体"/>
          <w:szCs w:val="21"/>
        </w:rPr>
      </w:pPr>
      <w:r>
        <w:rPr>
          <w:rFonts w:ascii="宋体" w:hAnsi="宋体"/>
          <w:szCs w:val="21"/>
        </w:rPr>
        <w:t xml:space="preserve">27.应当从国家基本药物目录中调出的是 </w:t>
      </w:r>
    </w:p>
    <w:p>
      <w:pPr>
        <w:rPr>
          <w:rFonts w:ascii="宋体" w:hAnsi="宋体"/>
          <w:szCs w:val="21"/>
        </w:rPr>
      </w:pPr>
    </w:p>
    <w:p>
      <w:pPr>
        <w:rPr>
          <w:rFonts w:ascii="宋体" w:hAnsi="宋体"/>
          <w:szCs w:val="21"/>
        </w:rPr>
      </w:pPr>
      <w:r>
        <w:rPr>
          <w:rFonts w:ascii="宋体" w:hAnsi="宋体"/>
          <w:szCs w:val="21"/>
        </w:rPr>
        <w:t>A.国家中医药管理局</w:t>
      </w:r>
    </w:p>
    <w:p>
      <w:pPr>
        <w:rPr>
          <w:rFonts w:ascii="宋体" w:hAnsi="宋体"/>
          <w:szCs w:val="21"/>
        </w:rPr>
      </w:pPr>
      <w:r>
        <w:rPr>
          <w:rFonts w:ascii="宋体" w:hAnsi="宋体"/>
          <w:szCs w:val="21"/>
        </w:rPr>
        <w:t>B.国家发展和改革委员会</w:t>
      </w:r>
    </w:p>
    <w:p>
      <w:pPr>
        <w:rPr>
          <w:rFonts w:ascii="宋体" w:hAnsi="宋体"/>
          <w:szCs w:val="21"/>
        </w:rPr>
      </w:pPr>
      <w:r>
        <w:rPr>
          <w:rFonts w:ascii="宋体" w:hAnsi="宋体"/>
          <w:szCs w:val="21"/>
        </w:rPr>
        <w:t>C.国家卫生健康委员会</w:t>
      </w:r>
    </w:p>
    <w:p>
      <w:pPr>
        <w:rPr>
          <w:rFonts w:ascii="宋体" w:hAnsi="宋体"/>
          <w:szCs w:val="21"/>
        </w:rPr>
      </w:pPr>
      <w:r>
        <w:rPr>
          <w:rFonts w:ascii="宋体" w:hAnsi="宋体"/>
          <w:szCs w:val="21"/>
        </w:rPr>
        <w:t>D.国家医疗保障局</w:t>
      </w:r>
    </w:p>
    <w:p>
      <w:pPr>
        <w:rPr>
          <w:rFonts w:ascii="宋体" w:hAnsi="宋体"/>
          <w:szCs w:val="21"/>
        </w:rPr>
      </w:pPr>
      <w:r>
        <w:rPr>
          <w:rFonts w:ascii="宋体" w:hAnsi="宋体"/>
          <w:szCs w:val="21"/>
        </w:rPr>
        <w:t>28.国家药品监督管理局会同组织，制定国家药典的机构是</w:t>
      </w:r>
    </w:p>
    <w:p>
      <w:pPr>
        <w:rPr>
          <w:rFonts w:ascii="宋体" w:hAnsi="宋体"/>
          <w:szCs w:val="21"/>
        </w:rPr>
      </w:pPr>
      <w:r>
        <w:rPr>
          <w:rFonts w:ascii="宋体" w:hAnsi="宋体"/>
          <w:szCs w:val="21"/>
        </w:rPr>
        <w:t>29.负责监测和管理药品宏观经济的机构是</w:t>
      </w:r>
    </w:p>
    <w:p>
      <w:pPr>
        <w:rPr>
          <w:rFonts w:ascii="宋体" w:hAnsi="宋体"/>
          <w:szCs w:val="21"/>
        </w:rPr>
      </w:pPr>
      <w:r>
        <w:rPr>
          <w:rFonts w:ascii="宋体" w:hAnsi="宋体"/>
          <w:szCs w:val="21"/>
        </w:rPr>
        <w:t xml:space="preserve">30.组织制定药品价格，推动建立市场主导的社会医药服务价格形成机制的机构是 </w:t>
      </w:r>
    </w:p>
    <w:p>
      <w:pPr>
        <w:rPr>
          <w:rFonts w:ascii="宋体" w:hAnsi="宋体"/>
          <w:szCs w:val="21"/>
        </w:rPr>
      </w:pPr>
    </w:p>
    <w:p>
      <w:pPr>
        <w:rPr>
          <w:rFonts w:ascii="宋体" w:hAnsi="宋体"/>
          <w:szCs w:val="21"/>
        </w:rPr>
      </w:pPr>
      <w:r>
        <w:rPr>
          <w:rFonts w:ascii="宋体" w:hAnsi="宋体"/>
          <w:szCs w:val="21"/>
        </w:rPr>
        <w:t>A.中国食品药品检定研究院</w:t>
      </w:r>
    </w:p>
    <w:p>
      <w:pPr>
        <w:rPr>
          <w:rFonts w:ascii="宋体" w:hAnsi="宋体"/>
          <w:szCs w:val="21"/>
        </w:rPr>
      </w:pPr>
      <w:r>
        <w:rPr>
          <w:rFonts w:ascii="宋体" w:hAnsi="宋体"/>
          <w:szCs w:val="21"/>
        </w:rPr>
        <w:t>B.国家药品监督管理局药品审评中心</w:t>
      </w:r>
    </w:p>
    <w:p>
      <w:pPr>
        <w:rPr>
          <w:rFonts w:ascii="宋体" w:hAnsi="宋体"/>
          <w:szCs w:val="21"/>
        </w:rPr>
      </w:pPr>
      <w:r>
        <w:rPr>
          <w:rFonts w:ascii="宋体" w:hAnsi="宋体"/>
          <w:szCs w:val="21"/>
        </w:rPr>
        <w:t>C国家药品监督管理局食品药品审核查验中心</w:t>
      </w:r>
    </w:p>
    <w:p>
      <w:pPr>
        <w:rPr>
          <w:rFonts w:ascii="宋体" w:hAnsi="宋体"/>
          <w:szCs w:val="21"/>
        </w:rPr>
      </w:pPr>
      <w:r>
        <w:rPr>
          <w:rFonts w:ascii="宋体" w:hAnsi="宋体"/>
          <w:szCs w:val="21"/>
        </w:rPr>
        <w:t>D.国家药品监督管理局药品评价中心</w:t>
      </w:r>
    </w:p>
    <w:p>
      <w:pPr>
        <w:rPr>
          <w:rFonts w:ascii="宋体" w:hAnsi="宋体"/>
          <w:szCs w:val="21"/>
        </w:rPr>
      </w:pPr>
      <w:r>
        <w:rPr>
          <w:rFonts w:ascii="宋体" w:hAnsi="宋体"/>
          <w:szCs w:val="21"/>
        </w:rPr>
        <w:t>31.在药品注册管理中,承担药品注册现场检查的药品监督管理技术支撑机构是</w:t>
      </w:r>
    </w:p>
    <w:p>
      <w:pPr>
        <w:rPr>
          <w:rFonts w:ascii="宋体" w:hAnsi="宋体"/>
          <w:szCs w:val="21"/>
        </w:rPr>
      </w:pPr>
      <w:r>
        <w:rPr>
          <w:rFonts w:ascii="宋体" w:hAnsi="宋体"/>
          <w:szCs w:val="21"/>
        </w:rPr>
        <w:t xml:space="preserve">32.开展药品上市后安全性评价工作的药品监督管理技术支撑机构是 </w:t>
      </w:r>
    </w:p>
    <w:p>
      <w:pPr>
        <w:rPr>
          <w:rFonts w:ascii="宋体" w:hAnsi="宋体"/>
          <w:szCs w:val="21"/>
        </w:rPr>
      </w:pPr>
    </w:p>
    <w:p>
      <w:pPr>
        <w:rPr>
          <w:rFonts w:ascii="宋体" w:hAnsi="宋体"/>
          <w:szCs w:val="21"/>
        </w:rPr>
      </w:pPr>
      <w:r>
        <w:rPr>
          <w:rFonts w:ascii="宋体" w:hAnsi="宋体"/>
          <w:szCs w:val="21"/>
        </w:rPr>
        <w:t>A.责令组织听证</w:t>
      </w:r>
    </w:p>
    <w:p>
      <w:pPr>
        <w:rPr>
          <w:rFonts w:ascii="宋体" w:hAnsi="宋体"/>
          <w:szCs w:val="21"/>
        </w:rPr>
      </w:pPr>
      <w:r>
        <w:rPr>
          <w:rFonts w:ascii="宋体" w:hAnsi="宋体"/>
          <w:szCs w:val="21"/>
        </w:rPr>
        <w:t>B.划拨存款、汇款</w:t>
      </w:r>
    </w:p>
    <w:p>
      <w:pPr>
        <w:rPr>
          <w:rFonts w:ascii="宋体" w:hAnsi="宋体"/>
          <w:szCs w:val="21"/>
        </w:rPr>
      </w:pPr>
      <w:r>
        <w:rPr>
          <w:rFonts w:ascii="宋体" w:hAnsi="宋体"/>
          <w:szCs w:val="21"/>
        </w:rPr>
        <w:t>C.责令停产停业</w:t>
      </w:r>
    </w:p>
    <w:p>
      <w:pPr>
        <w:rPr>
          <w:rFonts w:ascii="宋体" w:hAnsi="宋体"/>
          <w:szCs w:val="21"/>
        </w:rPr>
      </w:pPr>
      <w:r>
        <w:rPr>
          <w:rFonts w:ascii="宋体" w:hAnsi="宋体"/>
          <w:szCs w:val="21"/>
        </w:rPr>
        <w:t>D.查封场所、设施或者财物</w:t>
      </w:r>
    </w:p>
    <w:p>
      <w:pPr>
        <w:rPr>
          <w:rFonts w:ascii="宋体" w:hAnsi="宋体"/>
          <w:szCs w:val="21"/>
        </w:rPr>
      </w:pPr>
      <w:r>
        <w:rPr>
          <w:rFonts w:ascii="宋体" w:hAnsi="宋体"/>
          <w:szCs w:val="21"/>
        </w:rPr>
        <w:t>33.行政机关对不履行行政决定的公民、法人或者其他组织，可采取的行政强制执行方式是</w:t>
      </w:r>
    </w:p>
    <w:p>
      <w:pPr>
        <w:rPr>
          <w:rFonts w:ascii="宋体" w:hAnsi="宋体"/>
          <w:szCs w:val="21"/>
        </w:rPr>
      </w:pPr>
      <w:r>
        <w:rPr>
          <w:rFonts w:ascii="宋体" w:hAnsi="宋体"/>
          <w:szCs w:val="21"/>
        </w:rPr>
        <w:t>34.行政机关为制止违法行为、防止证据损毁，可依法采取的行政强制措施是</w:t>
      </w:r>
    </w:p>
    <w:p>
      <w:pPr>
        <w:rPr>
          <w:rFonts w:ascii="宋体" w:hAnsi="宋体"/>
          <w:szCs w:val="21"/>
        </w:rPr>
      </w:pPr>
    </w:p>
    <w:p>
      <w:pPr>
        <w:rPr>
          <w:rFonts w:ascii="宋体" w:hAnsi="宋体"/>
          <w:szCs w:val="21"/>
        </w:rPr>
      </w:pPr>
      <w:r>
        <w:rPr>
          <w:rFonts w:ascii="宋体" w:hAnsi="宋体"/>
          <w:szCs w:val="21"/>
        </w:rPr>
        <w:t>A. 市县两级市场监管部门</w:t>
      </w:r>
    </w:p>
    <w:p>
      <w:pPr>
        <w:rPr>
          <w:rFonts w:ascii="宋体" w:hAnsi="宋体"/>
          <w:szCs w:val="21"/>
        </w:rPr>
      </w:pPr>
      <w:r>
        <w:rPr>
          <w:rFonts w:ascii="宋体" w:hAnsi="宋体"/>
          <w:szCs w:val="21"/>
        </w:rPr>
        <w:t>B. 医疗保障部门</w:t>
      </w:r>
    </w:p>
    <w:p>
      <w:pPr>
        <w:rPr>
          <w:rFonts w:ascii="宋体" w:hAnsi="宋体"/>
          <w:szCs w:val="21"/>
        </w:rPr>
      </w:pPr>
      <w:r>
        <w:rPr>
          <w:rFonts w:ascii="宋体" w:hAnsi="宋体"/>
          <w:szCs w:val="21"/>
        </w:rPr>
        <w:t>C. 发展和改革宏观调控部门</w:t>
      </w:r>
    </w:p>
    <w:p>
      <w:pPr>
        <w:rPr>
          <w:rFonts w:ascii="宋体" w:hAnsi="宋体"/>
          <w:szCs w:val="21"/>
        </w:rPr>
      </w:pPr>
      <w:r>
        <w:rPr>
          <w:rFonts w:ascii="宋体" w:hAnsi="宋体"/>
          <w:szCs w:val="21"/>
        </w:rPr>
        <w:t>D. 人力资源和社会保障部门</w:t>
      </w:r>
    </w:p>
    <w:p>
      <w:pPr>
        <w:rPr>
          <w:rFonts w:ascii="宋体" w:hAnsi="宋体"/>
          <w:szCs w:val="21"/>
        </w:rPr>
      </w:pPr>
      <w:r>
        <w:rPr>
          <w:rFonts w:ascii="宋体" w:hAnsi="宋体"/>
          <w:szCs w:val="21"/>
        </w:rPr>
        <w:t>35. 负责药品零售、医疗器械经营的许可、检查和处罚的部门是</w:t>
      </w:r>
    </w:p>
    <w:p>
      <w:pPr>
        <w:rPr>
          <w:rFonts w:ascii="宋体" w:hAnsi="宋体"/>
          <w:szCs w:val="21"/>
        </w:rPr>
      </w:pPr>
      <w:r>
        <w:rPr>
          <w:rFonts w:ascii="宋体" w:hAnsi="宋体"/>
          <w:szCs w:val="21"/>
        </w:rPr>
        <w:t>36. 制定医疗保险相关部门规章并组织实施的部门是</w:t>
      </w:r>
    </w:p>
    <w:p>
      <w:pPr>
        <w:rPr>
          <w:rFonts w:ascii="宋体" w:hAnsi="宋体"/>
          <w:szCs w:val="21"/>
        </w:rPr>
      </w:pPr>
      <w:r>
        <w:rPr>
          <w:rFonts w:ascii="宋体" w:hAnsi="宋体"/>
          <w:szCs w:val="21"/>
        </w:rPr>
        <w:t xml:space="preserve">37. 负责监测和管理药品宏观经济的部门是 </w:t>
      </w:r>
    </w:p>
    <w:p>
      <w:pPr>
        <w:rPr>
          <w:rFonts w:ascii="宋体" w:hAnsi="宋体"/>
          <w:szCs w:val="21"/>
        </w:rPr>
      </w:pPr>
    </w:p>
    <w:p>
      <w:pPr>
        <w:rPr>
          <w:rFonts w:ascii="宋体" w:hAnsi="宋体"/>
          <w:szCs w:val="21"/>
        </w:rPr>
      </w:pPr>
      <w:r>
        <w:rPr>
          <w:rFonts w:ascii="宋体" w:hAnsi="宋体"/>
          <w:szCs w:val="21"/>
        </w:rPr>
        <w:t xml:space="preserve">A.国家卫生健康委员会         </w:t>
      </w:r>
    </w:p>
    <w:p>
      <w:pPr>
        <w:rPr>
          <w:rFonts w:ascii="宋体" w:hAnsi="宋体"/>
          <w:szCs w:val="21"/>
        </w:rPr>
      </w:pPr>
      <w:r>
        <w:rPr>
          <w:rFonts w:ascii="宋体" w:hAnsi="宋体"/>
          <w:szCs w:val="21"/>
        </w:rPr>
        <w:t>B.国家医疗保障局</w:t>
      </w:r>
    </w:p>
    <w:p>
      <w:pPr>
        <w:rPr>
          <w:rFonts w:ascii="宋体" w:hAnsi="宋体"/>
          <w:szCs w:val="21"/>
        </w:rPr>
      </w:pPr>
      <w:r>
        <w:rPr>
          <w:rFonts w:ascii="宋体" w:hAnsi="宋体"/>
          <w:szCs w:val="21"/>
        </w:rPr>
        <w:t xml:space="preserve">C.国家中医药管理局            </w:t>
      </w:r>
    </w:p>
    <w:p>
      <w:pPr>
        <w:rPr>
          <w:rFonts w:ascii="宋体" w:hAnsi="宋体"/>
          <w:szCs w:val="21"/>
        </w:rPr>
      </w:pPr>
      <w:r>
        <w:rPr>
          <w:rFonts w:ascii="宋体" w:hAnsi="宋体"/>
          <w:szCs w:val="21"/>
        </w:rPr>
        <w:t>D.国家发展和改革委员会</w:t>
      </w:r>
    </w:p>
    <w:p>
      <w:pPr>
        <w:rPr>
          <w:rFonts w:ascii="宋体" w:hAnsi="宋体"/>
          <w:szCs w:val="21"/>
        </w:rPr>
      </w:pPr>
      <w:r>
        <w:rPr>
          <w:rFonts w:ascii="宋体" w:hAnsi="宋体"/>
          <w:szCs w:val="21"/>
        </w:rPr>
        <w:t>38. 国家药品监督管理局会同组织制定国家药典的机构是</w:t>
      </w:r>
    </w:p>
    <w:p>
      <w:pPr>
        <w:rPr>
          <w:rFonts w:ascii="宋体" w:hAnsi="宋体"/>
          <w:szCs w:val="21"/>
        </w:rPr>
      </w:pPr>
      <w:r>
        <w:rPr>
          <w:rFonts w:ascii="宋体" w:hAnsi="宋体"/>
          <w:szCs w:val="21"/>
        </w:rPr>
        <w:t>39. 组织制定药品价格，推动建立市场主导的社会医药服务价格形成机制的机构是</w:t>
      </w:r>
    </w:p>
    <w:p>
      <w:pPr>
        <w:rPr>
          <w:rFonts w:ascii="宋体" w:hAnsi="宋体"/>
          <w:szCs w:val="21"/>
        </w:rPr>
      </w:pPr>
      <w:r>
        <w:rPr>
          <w:rFonts w:ascii="宋体" w:hAnsi="宋体"/>
          <w:szCs w:val="21"/>
        </w:rPr>
        <w:t>40.负责指导民族医药的理论、医术、药物的发掘、 整理、总结和提高工作的部门是</w:t>
      </w:r>
    </w:p>
    <w:p>
      <w:pPr>
        <w:rPr>
          <w:rFonts w:ascii="宋体" w:hAnsi="宋体"/>
          <w:szCs w:val="21"/>
        </w:rPr>
      </w:pPr>
      <w:r>
        <w:rPr>
          <w:rFonts w:ascii="宋体" w:hAnsi="宋体"/>
          <w:szCs w:val="21"/>
        </w:rPr>
        <w:t xml:space="preserve">41.开展公立医院药品使用监测、临床综合评价和短缺药品预警的部门是 </w:t>
      </w:r>
    </w:p>
    <w:p>
      <w:pPr>
        <w:rPr>
          <w:rFonts w:ascii="宋体" w:hAnsi="宋体"/>
          <w:szCs w:val="21"/>
        </w:rPr>
      </w:pPr>
    </w:p>
    <w:p>
      <w:pPr>
        <w:rPr>
          <w:rFonts w:ascii="宋体" w:hAnsi="宋体"/>
          <w:szCs w:val="21"/>
        </w:rPr>
      </w:pPr>
      <w:r>
        <w:rPr>
          <w:rFonts w:ascii="宋体" w:hAnsi="宋体"/>
          <w:szCs w:val="21"/>
        </w:rPr>
        <w:t>A. 首次申请上市仿制药</w:t>
      </w:r>
    </w:p>
    <w:p>
      <w:pPr>
        <w:rPr>
          <w:rFonts w:ascii="宋体" w:hAnsi="宋体"/>
          <w:szCs w:val="21"/>
        </w:rPr>
      </w:pPr>
      <w:r>
        <w:rPr>
          <w:rFonts w:ascii="宋体" w:hAnsi="宋体"/>
          <w:szCs w:val="21"/>
        </w:rPr>
        <w:t>B.用于血源筛査的体外诊断试剂</w:t>
      </w:r>
    </w:p>
    <w:p>
      <w:pPr>
        <w:rPr>
          <w:rFonts w:ascii="宋体" w:hAnsi="宋体"/>
          <w:szCs w:val="21"/>
        </w:rPr>
      </w:pPr>
      <w:r>
        <w:rPr>
          <w:rFonts w:ascii="宋体" w:hAnsi="宋体"/>
          <w:szCs w:val="21"/>
        </w:rPr>
        <w:t>C.首次申请生产仿制药</w:t>
      </w:r>
    </w:p>
    <w:p>
      <w:pPr>
        <w:rPr>
          <w:rFonts w:ascii="宋体" w:hAnsi="宋体"/>
          <w:szCs w:val="21"/>
        </w:rPr>
      </w:pPr>
      <w:r>
        <w:rPr>
          <w:rFonts w:ascii="宋体" w:hAnsi="宋体"/>
          <w:szCs w:val="21"/>
        </w:rPr>
        <w:t>D.首次在中国生产的药品</w:t>
      </w:r>
    </w:p>
    <w:p>
      <w:pPr>
        <w:rPr>
          <w:rFonts w:ascii="宋体" w:hAnsi="宋体"/>
          <w:szCs w:val="21"/>
        </w:rPr>
      </w:pPr>
      <w:r>
        <w:rPr>
          <w:rFonts w:ascii="宋体" w:hAnsi="宋体"/>
          <w:szCs w:val="21"/>
        </w:rPr>
        <w:t>42. 应当进行药品注册检验中的样品检验和标准复核的药品是</w:t>
      </w:r>
    </w:p>
    <w:p>
      <w:pPr>
        <w:rPr>
          <w:rFonts w:ascii="宋体" w:hAnsi="宋体"/>
          <w:szCs w:val="21"/>
        </w:rPr>
      </w:pPr>
      <w:r>
        <w:rPr>
          <w:rFonts w:ascii="宋体" w:hAnsi="宋体"/>
          <w:szCs w:val="21"/>
        </w:rPr>
        <w:t xml:space="preserve">43. 国家法律或国家药品监督管理部门规定某些药品在销售前或者进口时，必须经过指定药品检验机构检验的药品是 </w:t>
      </w:r>
    </w:p>
    <w:p>
      <w:pPr>
        <w:rPr>
          <w:rFonts w:ascii="宋体" w:hAnsi="宋体"/>
          <w:b/>
          <w:color w:val="FF0000"/>
          <w:szCs w:val="21"/>
          <w:u w:val="single"/>
        </w:rPr>
      </w:pPr>
    </w:p>
    <w:p>
      <w:pPr>
        <w:rPr>
          <w:rFonts w:ascii="宋体" w:hAnsi="宋体"/>
          <w:b/>
          <w:color w:val="FF0000"/>
          <w:szCs w:val="21"/>
          <w:u w:val="single"/>
        </w:rPr>
      </w:pPr>
      <w:r>
        <w:rPr>
          <w:rFonts w:ascii="宋体" w:hAnsi="宋体"/>
          <w:b/>
          <w:color w:val="FF0000"/>
          <w:szCs w:val="21"/>
          <w:u w:val="single"/>
        </w:rPr>
        <w:t xml:space="preserve">综合分析选择题 </w:t>
      </w:r>
    </w:p>
    <w:p>
      <w:pPr>
        <w:rPr>
          <w:rFonts w:ascii="宋体" w:hAnsi="宋体"/>
          <w:szCs w:val="21"/>
        </w:rPr>
      </w:pPr>
      <w:r>
        <w:rPr>
          <w:rFonts w:ascii="宋体" w:hAnsi="宋体"/>
          <w:szCs w:val="21"/>
        </w:rPr>
        <w:t>某中药店有牛黄、麝香、人工牛黄、人参片、丁香等中药饮片。査阅《国家医疗保险、工伤保险和生育保险目录》，人工牛黄、人参片、丁香属于“基金予以支付的中药饮片”，牛黄、麝香属于“不得纳入基金支付范围的中药饮片”。</w:t>
      </w:r>
    </w:p>
    <w:p>
      <w:pPr>
        <w:rPr>
          <w:rFonts w:ascii="宋体" w:hAnsi="宋体"/>
          <w:szCs w:val="21"/>
        </w:rPr>
      </w:pPr>
      <w:r>
        <w:rPr>
          <w:rFonts w:ascii="宋体" w:hAnsi="宋体"/>
          <w:szCs w:val="21"/>
        </w:rPr>
        <w:t>44. 关于上述情景中的“人工牛黄、人参片、丁香” 的说法，错误的是</w:t>
      </w:r>
    </w:p>
    <w:p>
      <w:pPr>
        <w:rPr>
          <w:rFonts w:ascii="宋体" w:hAnsi="宋体"/>
          <w:szCs w:val="21"/>
        </w:rPr>
      </w:pPr>
      <w:r>
        <w:rPr>
          <w:rFonts w:ascii="宋体" w:hAnsi="宋体"/>
          <w:szCs w:val="21"/>
        </w:rPr>
        <w:t>A. 三种中药饮片的药品标准是国家药品标准</w:t>
      </w:r>
    </w:p>
    <w:p>
      <w:pPr>
        <w:rPr>
          <w:rFonts w:ascii="宋体" w:hAnsi="宋体"/>
          <w:szCs w:val="21"/>
        </w:rPr>
      </w:pPr>
      <w:r>
        <w:rPr>
          <w:rFonts w:ascii="宋体" w:hAnsi="宋体"/>
          <w:szCs w:val="21"/>
        </w:rPr>
        <w:t>B. 三种中药饮片是国家基本药物</w:t>
      </w:r>
    </w:p>
    <w:p>
      <w:pPr>
        <w:rPr>
          <w:rFonts w:ascii="宋体" w:hAnsi="宋体"/>
          <w:szCs w:val="21"/>
        </w:rPr>
      </w:pPr>
      <w:r>
        <w:rPr>
          <w:rFonts w:ascii="宋体" w:hAnsi="宋体"/>
          <w:szCs w:val="21"/>
        </w:rPr>
        <w:t>C. 三种中药饮片医疗保险可以予以支付</w:t>
      </w:r>
    </w:p>
    <w:p>
      <w:pPr>
        <w:rPr>
          <w:rFonts w:ascii="宋体" w:hAnsi="宋体"/>
          <w:szCs w:val="21"/>
        </w:rPr>
      </w:pPr>
      <w:r>
        <w:rPr>
          <w:rFonts w:ascii="宋体" w:hAnsi="宋体"/>
          <w:szCs w:val="21"/>
        </w:rPr>
        <w:t xml:space="preserve">D. 三种中药饮片属于医疗保险乙类药品 </w:t>
      </w:r>
    </w:p>
    <w:p>
      <w:pPr>
        <w:rPr>
          <w:rFonts w:ascii="宋体" w:hAnsi="宋体"/>
          <w:szCs w:val="21"/>
        </w:rPr>
      </w:pPr>
    </w:p>
    <w:p>
      <w:pPr>
        <w:rPr>
          <w:rFonts w:ascii="宋体" w:hAnsi="宋体"/>
          <w:szCs w:val="21"/>
        </w:rPr>
      </w:pPr>
      <w:r>
        <w:rPr>
          <w:rFonts w:ascii="宋体" w:hAnsi="宋体"/>
          <w:szCs w:val="21"/>
        </w:rPr>
        <w:t>45.上述情景中的“牛黄、麝香”的遴选部门及省级相关部门的调整权限分别为</w:t>
      </w:r>
    </w:p>
    <w:p>
      <w:pPr>
        <w:rPr>
          <w:rFonts w:ascii="宋体" w:hAnsi="宋体"/>
          <w:szCs w:val="21"/>
        </w:rPr>
      </w:pPr>
      <w:r>
        <w:rPr>
          <w:rFonts w:ascii="宋体" w:hAnsi="宋体"/>
          <w:szCs w:val="21"/>
        </w:rPr>
        <w:t>A. 国家医疗保障局，可以增加</w:t>
      </w:r>
    </w:p>
    <w:p>
      <w:pPr>
        <w:rPr>
          <w:rFonts w:ascii="宋体" w:hAnsi="宋体"/>
          <w:szCs w:val="21"/>
        </w:rPr>
      </w:pPr>
      <w:r>
        <w:rPr>
          <w:rFonts w:ascii="宋体" w:hAnsi="宋体"/>
          <w:szCs w:val="21"/>
        </w:rPr>
        <w:t>B. 省级医疗保障部门，可以增加</w:t>
      </w:r>
    </w:p>
    <w:p>
      <w:pPr>
        <w:rPr>
          <w:rFonts w:ascii="宋体" w:hAnsi="宋体"/>
          <w:szCs w:val="21"/>
        </w:rPr>
      </w:pPr>
      <w:r>
        <w:rPr>
          <w:rFonts w:ascii="宋体" w:hAnsi="宋体"/>
          <w:szCs w:val="21"/>
        </w:rPr>
        <w:t>C. 国家医疗保障局，不得增加</w:t>
      </w:r>
    </w:p>
    <w:p>
      <w:pPr>
        <w:rPr>
          <w:rFonts w:ascii="宋体" w:hAnsi="宋体"/>
          <w:szCs w:val="21"/>
        </w:rPr>
      </w:pPr>
      <w:r>
        <w:rPr>
          <w:rFonts w:ascii="宋体" w:hAnsi="宋体"/>
          <w:szCs w:val="21"/>
        </w:rPr>
        <w:t xml:space="preserve">D. 省级医疗保障部门，不得增加 </w:t>
      </w:r>
    </w:p>
    <w:p>
      <w:pPr>
        <w:rPr>
          <w:rFonts w:ascii="宋体" w:hAnsi="宋体"/>
          <w:szCs w:val="21"/>
        </w:rPr>
      </w:pPr>
    </w:p>
    <w:p>
      <w:pPr>
        <w:rPr>
          <w:rFonts w:ascii="宋体" w:hAnsi="宋体"/>
          <w:szCs w:val="21"/>
        </w:rPr>
      </w:pPr>
      <w:r>
        <w:rPr>
          <w:rFonts w:ascii="宋体" w:hAnsi="宋体"/>
          <w:szCs w:val="21"/>
        </w:rPr>
        <w:t>【46~49】</w:t>
      </w:r>
    </w:p>
    <w:p>
      <w:pPr>
        <w:rPr>
          <w:rFonts w:ascii="宋体" w:hAnsi="宋体"/>
          <w:szCs w:val="21"/>
        </w:rPr>
      </w:pPr>
      <w:r>
        <w:rPr>
          <w:rFonts w:ascii="宋体" w:hAnsi="宋体"/>
          <w:szCs w:val="21"/>
        </w:rPr>
        <w:t xml:space="preserve">甲省乙市丙县丁药店经营品种中有注射剂、肿瘤治疗药、维C银翘片（标签上是红色OTC）、维生素 C （标签绿色OTC），其营业执照为法人营业执照。在日常检查中，丙县市场监督管理部门发现该药店执业药师不在岗时，所有药品均有出售。该市场监督管理部门首先责令丁药店限期改正，给予警告；丁药店到期后没有改正，丙县市场监督管理部门给予罚款900元；丁药店对该行政决定不予履行，丙县市场监督管理部门对这种行为强制执行，并加处罚款。丁药店对处罚不服，提起行政复议。行政复议后，对行政复议仍然不服提起行政诉讼。 </w:t>
      </w:r>
    </w:p>
    <w:p>
      <w:pPr>
        <w:rPr>
          <w:rFonts w:ascii="宋体" w:hAnsi="宋体"/>
          <w:szCs w:val="21"/>
        </w:rPr>
      </w:pPr>
      <w:r>
        <w:rPr>
          <w:rFonts w:ascii="宋体" w:hAnsi="宋体"/>
          <w:szCs w:val="21"/>
        </w:rPr>
        <w:t>46. 案例情景中所指的“加处罚款”属于</w:t>
      </w:r>
    </w:p>
    <w:p>
      <w:pPr>
        <w:rPr>
          <w:rFonts w:ascii="宋体" w:hAnsi="宋体"/>
          <w:szCs w:val="21"/>
        </w:rPr>
      </w:pPr>
      <w:r>
        <w:rPr>
          <w:rFonts w:ascii="宋体" w:hAnsi="宋体"/>
          <w:szCs w:val="21"/>
        </w:rPr>
        <w:t xml:space="preserve">A.行政强制措施 </w:t>
      </w:r>
    </w:p>
    <w:p>
      <w:pPr>
        <w:rPr>
          <w:rFonts w:ascii="宋体" w:hAnsi="宋体"/>
          <w:szCs w:val="21"/>
        </w:rPr>
      </w:pPr>
      <w:r>
        <w:rPr>
          <w:rFonts w:ascii="宋体" w:hAnsi="宋体"/>
          <w:szCs w:val="21"/>
        </w:rPr>
        <w:t>B.行政强制执行</w:t>
      </w:r>
    </w:p>
    <w:p>
      <w:pPr>
        <w:rPr>
          <w:rFonts w:ascii="宋体" w:hAnsi="宋体"/>
          <w:szCs w:val="21"/>
        </w:rPr>
      </w:pPr>
      <w:r>
        <w:rPr>
          <w:rFonts w:ascii="宋体" w:hAnsi="宋体"/>
          <w:szCs w:val="21"/>
        </w:rPr>
        <w:t xml:space="preserve">C.行政处罚 </w:t>
      </w:r>
    </w:p>
    <w:p>
      <w:pPr>
        <w:rPr>
          <w:rFonts w:ascii="宋体" w:hAnsi="宋体"/>
          <w:szCs w:val="21"/>
        </w:rPr>
      </w:pPr>
      <w:r>
        <w:rPr>
          <w:rFonts w:ascii="宋体" w:hAnsi="宋体"/>
          <w:szCs w:val="21"/>
        </w:rPr>
        <w:t xml:space="preserve">D.行政许可 </w:t>
      </w:r>
    </w:p>
    <w:tbl>
      <w:tblPr>
        <w:tblStyle w:val="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56"/>
        <w:gridCol w:w="2856"/>
        <w:gridCol w:w="2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 w:hRule="atLeast"/>
        </w:trPr>
        <w:tc>
          <w:tcPr>
            <w:tcW w:w="2856" w:type="dxa"/>
            <w:shd w:val="clear" w:color="auto" w:fill="auto"/>
            <w:noWrap w:val="0"/>
            <w:tcMar>
              <w:top w:w="72" w:type="dxa"/>
              <w:left w:w="144" w:type="dxa"/>
              <w:bottom w:w="72" w:type="dxa"/>
              <w:right w:w="144" w:type="dxa"/>
            </w:tcMar>
            <w:vAlign w:val="top"/>
          </w:tcPr>
          <w:p>
            <w:pPr>
              <w:rPr>
                <w:rFonts w:hint="eastAsia" w:ascii="宋体" w:hAnsi="宋体"/>
                <w:bCs/>
                <w:szCs w:val="21"/>
              </w:rPr>
            </w:pPr>
          </w:p>
          <w:p>
            <w:pPr>
              <w:rPr>
                <w:rFonts w:ascii="宋体" w:hAnsi="宋体"/>
                <w:szCs w:val="21"/>
              </w:rPr>
            </w:pPr>
            <w:r>
              <w:rPr>
                <w:rFonts w:hint="eastAsia" w:ascii="宋体" w:hAnsi="宋体"/>
                <w:bCs/>
                <w:szCs w:val="21"/>
              </w:rPr>
              <w:t xml:space="preserve">行政处罚 </w:t>
            </w:r>
          </w:p>
        </w:tc>
        <w:tc>
          <w:tcPr>
            <w:tcW w:w="2856"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b/>
                <w:color w:val="FF0000"/>
                <w:szCs w:val="21"/>
                <w:u w:val="single"/>
              </w:rPr>
              <w:t>行政强制</w:t>
            </w:r>
            <w:r>
              <w:rPr>
                <w:rFonts w:hint="eastAsia" w:ascii="宋体" w:hAnsi="宋体"/>
                <w:bCs/>
                <w:szCs w:val="21"/>
              </w:rPr>
              <w:t xml:space="preserve">措施 </w:t>
            </w:r>
          </w:p>
        </w:tc>
        <w:tc>
          <w:tcPr>
            <w:tcW w:w="2856"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b/>
                <w:color w:val="FF0000"/>
                <w:szCs w:val="21"/>
                <w:u w:val="single"/>
              </w:rPr>
              <w:t>行政强制</w:t>
            </w:r>
            <w:r>
              <w:rPr>
                <w:rFonts w:hint="eastAsia" w:ascii="宋体" w:hAnsi="宋体"/>
                <w:bCs/>
                <w:szCs w:val="21"/>
              </w:rPr>
              <w:t xml:space="preserve">执行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 w:hRule="atLeast"/>
        </w:trPr>
        <w:tc>
          <w:tcPr>
            <w:tcW w:w="2856"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行政拘留、责停产停业、吊销许可证或者执照、罚款和没收财物（没收违法所得、没收非法财物等）两种、警告和通报批评 </w:t>
            </w:r>
          </w:p>
        </w:tc>
        <w:tc>
          <w:tcPr>
            <w:tcW w:w="2856"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szCs w:val="21"/>
              </w:rPr>
              <w:t>①</w:t>
            </w:r>
            <w:r>
              <w:rPr>
                <w:rFonts w:hint="eastAsia" w:ascii="宋体" w:hAnsi="宋体"/>
                <w:b/>
                <w:color w:val="FF0000"/>
                <w:szCs w:val="21"/>
                <w:u w:val="single"/>
              </w:rPr>
              <w:t>限制</w:t>
            </w:r>
            <w:r>
              <w:rPr>
                <w:rFonts w:hint="eastAsia" w:ascii="宋体" w:hAnsi="宋体"/>
                <w:szCs w:val="21"/>
              </w:rPr>
              <w:t>公民人身自由；</w:t>
            </w:r>
          </w:p>
          <w:p>
            <w:pPr>
              <w:rPr>
                <w:rFonts w:ascii="宋体" w:hAnsi="宋体"/>
                <w:szCs w:val="21"/>
              </w:rPr>
            </w:pPr>
            <w:r>
              <w:rPr>
                <w:rFonts w:hint="eastAsia" w:ascii="宋体" w:hAnsi="宋体"/>
                <w:szCs w:val="21"/>
              </w:rPr>
              <w:t>②</w:t>
            </w:r>
            <w:r>
              <w:rPr>
                <w:rFonts w:hint="eastAsia" w:ascii="宋体" w:hAnsi="宋体"/>
                <w:b/>
                <w:color w:val="FF0000"/>
                <w:szCs w:val="21"/>
                <w:u w:val="single"/>
              </w:rPr>
              <w:t>查封</w:t>
            </w:r>
            <w:r>
              <w:rPr>
                <w:rFonts w:hint="eastAsia" w:ascii="宋体" w:hAnsi="宋体"/>
                <w:szCs w:val="21"/>
              </w:rPr>
              <w:t>场所、设施或者财物；</w:t>
            </w:r>
          </w:p>
          <w:p>
            <w:pPr>
              <w:rPr>
                <w:rFonts w:ascii="宋体" w:hAnsi="宋体"/>
                <w:szCs w:val="21"/>
              </w:rPr>
            </w:pPr>
            <w:r>
              <w:rPr>
                <w:rFonts w:hint="eastAsia" w:ascii="宋体" w:hAnsi="宋体"/>
                <w:szCs w:val="21"/>
              </w:rPr>
              <w:t>③</w:t>
            </w:r>
            <w:r>
              <w:rPr>
                <w:rFonts w:hint="eastAsia" w:ascii="宋体" w:hAnsi="宋体"/>
                <w:b/>
                <w:color w:val="FF0000"/>
                <w:szCs w:val="21"/>
                <w:u w:val="single"/>
              </w:rPr>
              <w:t>扣押</w:t>
            </w:r>
            <w:r>
              <w:rPr>
                <w:rFonts w:hint="eastAsia" w:ascii="宋体" w:hAnsi="宋体"/>
                <w:szCs w:val="21"/>
              </w:rPr>
              <w:t>财物；</w:t>
            </w:r>
          </w:p>
          <w:p>
            <w:pPr>
              <w:rPr>
                <w:rFonts w:ascii="宋体" w:hAnsi="宋体"/>
                <w:szCs w:val="21"/>
              </w:rPr>
            </w:pPr>
            <w:r>
              <w:rPr>
                <w:rFonts w:hint="eastAsia" w:ascii="宋体" w:hAnsi="宋体"/>
                <w:szCs w:val="21"/>
              </w:rPr>
              <w:t>④</w:t>
            </w:r>
            <w:r>
              <w:rPr>
                <w:rFonts w:hint="eastAsia" w:ascii="宋体" w:hAnsi="宋体"/>
                <w:b/>
                <w:color w:val="FF0000"/>
                <w:szCs w:val="21"/>
                <w:u w:val="single"/>
              </w:rPr>
              <w:t>冻结</w:t>
            </w:r>
            <w:r>
              <w:rPr>
                <w:rFonts w:hint="eastAsia" w:ascii="宋体" w:hAnsi="宋体"/>
                <w:szCs w:val="21"/>
              </w:rPr>
              <w:t>存款、汇款；</w:t>
            </w:r>
          </w:p>
          <w:p>
            <w:pPr>
              <w:rPr>
                <w:rFonts w:ascii="宋体" w:hAnsi="宋体"/>
                <w:szCs w:val="21"/>
              </w:rPr>
            </w:pPr>
            <w:r>
              <w:rPr>
                <w:rFonts w:hint="eastAsia" w:ascii="宋体" w:hAnsi="宋体"/>
                <w:szCs w:val="21"/>
              </w:rPr>
              <w:t xml:space="preserve">⑤其他行政强制措施 </w:t>
            </w:r>
          </w:p>
        </w:tc>
        <w:tc>
          <w:tcPr>
            <w:tcW w:w="2856" w:type="dxa"/>
            <w:shd w:val="clear" w:color="auto" w:fill="auto"/>
            <w:noWrap w:val="0"/>
            <w:tcMar>
              <w:top w:w="72" w:type="dxa"/>
              <w:left w:w="144" w:type="dxa"/>
              <w:bottom w:w="72" w:type="dxa"/>
              <w:right w:w="144" w:type="dxa"/>
            </w:tcMar>
            <w:vAlign w:val="top"/>
          </w:tcPr>
          <w:p>
            <w:pPr>
              <w:rPr>
                <w:rFonts w:ascii="宋体" w:hAnsi="宋体"/>
                <w:szCs w:val="21"/>
              </w:rPr>
            </w:pPr>
            <w:r>
              <w:rPr>
                <w:rFonts w:hint="eastAsia" w:ascii="宋体" w:hAnsi="宋体"/>
                <w:szCs w:val="21"/>
              </w:rPr>
              <w:t>①加处罚款或者滞纳金；</w:t>
            </w:r>
          </w:p>
          <w:p>
            <w:pPr>
              <w:rPr>
                <w:rFonts w:ascii="宋体" w:hAnsi="宋体"/>
                <w:szCs w:val="21"/>
              </w:rPr>
            </w:pPr>
            <w:r>
              <w:rPr>
                <w:rFonts w:hint="eastAsia" w:ascii="宋体" w:hAnsi="宋体"/>
                <w:szCs w:val="21"/>
              </w:rPr>
              <w:t>②划拨存款、汇款；</w:t>
            </w:r>
          </w:p>
          <w:p>
            <w:pPr>
              <w:rPr>
                <w:rFonts w:ascii="宋体" w:hAnsi="宋体"/>
                <w:szCs w:val="21"/>
              </w:rPr>
            </w:pPr>
            <w:r>
              <w:rPr>
                <w:rFonts w:hint="eastAsia" w:ascii="宋体" w:hAnsi="宋体"/>
                <w:szCs w:val="21"/>
              </w:rPr>
              <w:t>③拍卖或者依法处理查封、扣押的场所、设施或者财物；</w:t>
            </w:r>
          </w:p>
          <w:p>
            <w:pPr>
              <w:rPr>
                <w:rFonts w:ascii="宋体" w:hAnsi="宋体"/>
                <w:szCs w:val="21"/>
              </w:rPr>
            </w:pPr>
            <w:r>
              <w:rPr>
                <w:rFonts w:hint="eastAsia" w:ascii="宋体" w:hAnsi="宋体"/>
                <w:szCs w:val="21"/>
              </w:rPr>
              <w:t>④排除妨碍、恢复原状；</w:t>
            </w:r>
          </w:p>
          <w:p>
            <w:pPr>
              <w:rPr>
                <w:rFonts w:ascii="宋体" w:hAnsi="宋体"/>
                <w:szCs w:val="21"/>
              </w:rPr>
            </w:pPr>
            <w:r>
              <w:rPr>
                <w:rFonts w:hint="eastAsia" w:ascii="宋体" w:hAnsi="宋体"/>
                <w:szCs w:val="21"/>
              </w:rPr>
              <w:t>⑤代履行等！</w:t>
            </w:r>
          </w:p>
        </w:tc>
      </w:tr>
    </w:tbl>
    <w:p>
      <w:pPr>
        <w:rPr>
          <w:rFonts w:ascii="宋体" w:hAnsi="宋体"/>
          <w:szCs w:val="21"/>
        </w:rPr>
      </w:pPr>
      <w:r>
        <w:rPr>
          <w:rFonts w:ascii="宋体" w:hAnsi="宋体"/>
          <w:szCs w:val="21"/>
        </w:rPr>
        <w:t>47. 案例情景中执业药师不在岗时，可以销售的药品是</w:t>
      </w:r>
    </w:p>
    <w:p>
      <w:pPr>
        <w:rPr>
          <w:rFonts w:ascii="宋体" w:hAnsi="宋体"/>
          <w:szCs w:val="21"/>
        </w:rPr>
      </w:pPr>
      <w:r>
        <w:rPr>
          <w:rFonts w:ascii="宋体" w:hAnsi="宋体"/>
          <w:szCs w:val="21"/>
        </w:rPr>
        <w:t xml:space="preserve">A.注射剂 </w:t>
      </w:r>
    </w:p>
    <w:p>
      <w:pPr>
        <w:rPr>
          <w:rFonts w:ascii="宋体" w:hAnsi="宋体"/>
          <w:szCs w:val="21"/>
        </w:rPr>
      </w:pPr>
      <w:r>
        <w:rPr>
          <w:rFonts w:ascii="宋体" w:hAnsi="宋体"/>
          <w:szCs w:val="21"/>
        </w:rPr>
        <w:t>B.肿瘤治疗药</w:t>
      </w:r>
    </w:p>
    <w:p>
      <w:pPr>
        <w:rPr>
          <w:rFonts w:ascii="宋体" w:hAnsi="宋体"/>
          <w:szCs w:val="21"/>
        </w:rPr>
      </w:pPr>
      <w:r>
        <w:rPr>
          <w:rFonts w:ascii="宋体" w:hAnsi="宋体"/>
          <w:szCs w:val="21"/>
        </w:rPr>
        <w:t>C.维C银翘片</w:t>
      </w:r>
    </w:p>
    <w:p>
      <w:pPr>
        <w:rPr>
          <w:rFonts w:ascii="宋体" w:hAnsi="宋体"/>
          <w:szCs w:val="21"/>
        </w:rPr>
      </w:pPr>
      <w:r>
        <w:rPr>
          <w:rFonts w:ascii="宋体" w:hAnsi="宋体"/>
          <w:szCs w:val="21"/>
        </w:rPr>
        <w:t xml:space="preserve">D.维生素C </w:t>
      </w:r>
    </w:p>
    <w:p>
      <w:pPr>
        <w:rPr>
          <w:rFonts w:ascii="宋体" w:hAnsi="宋体"/>
          <w:szCs w:val="21"/>
        </w:rPr>
      </w:pPr>
    </w:p>
    <w:p>
      <w:pPr>
        <w:rPr>
          <w:rFonts w:ascii="宋体" w:hAnsi="宋体"/>
          <w:szCs w:val="21"/>
        </w:rPr>
      </w:pPr>
      <w:r>
        <w:rPr>
          <w:rFonts w:ascii="宋体" w:hAnsi="宋体"/>
          <w:szCs w:val="21"/>
        </w:rPr>
        <w:t>48. 丙县药品监督管理部门所给予的900元罚款，适用的行政处罚决定程序包括</w:t>
      </w:r>
    </w:p>
    <w:p>
      <w:pPr>
        <w:rPr>
          <w:rFonts w:ascii="宋体" w:hAnsi="宋体"/>
          <w:szCs w:val="21"/>
        </w:rPr>
      </w:pPr>
      <w:r>
        <w:rPr>
          <w:rFonts w:ascii="宋体" w:hAnsi="宋体"/>
          <w:szCs w:val="21"/>
        </w:rPr>
        <w:t xml:space="preserve">A.立案 </w:t>
      </w:r>
    </w:p>
    <w:p>
      <w:pPr>
        <w:rPr>
          <w:rFonts w:ascii="宋体" w:hAnsi="宋体"/>
          <w:szCs w:val="21"/>
        </w:rPr>
      </w:pPr>
      <w:r>
        <w:rPr>
          <w:rFonts w:ascii="宋体" w:hAnsi="宋体"/>
          <w:szCs w:val="21"/>
        </w:rPr>
        <w:t>B.制作笔录</w:t>
      </w:r>
    </w:p>
    <w:p>
      <w:pPr>
        <w:rPr>
          <w:rFonts w:ascii="宋体" w:hAnsi="宋体"/>
          <w:szCs w:val="21"/>
        </w:rPr>
      </w:pPr>
      <w:r>
        <w:rPr>
          <w:rFonts w:ascii="宋体" w:hAnsi="宋体"/>
          <w:szCs w:val="21"/>
        </w:rPr>
        <w:t xml:space="preserve">C.辩论 </w:t>
      </w:r>
    </w:p>
    <w:p>
      <w:pPr>
        <w:rPr>
          <w:rFonts w:ascii="宋体" w:hAnsi="宋体"/>
          <w:szCs w:val="21"/>
        </w:rPr>
      </w:pPr>
      <w:r>
        <w:rPr>
          <w:rFonts w:ascii="宋体" w:hAnsi="宋体"/>
          <w:szCs w:val="21"/>
        </w:rPr>
        <w:t xml:space="preserve">D.备案 </w:t>
      </w:r>
    </w:p>
    <w:p>
      <w:pPr>
        <w:rPr>
          <w:rFonts w:ascii="宋体" w:hAnsi="宋体"/>
          <w:szCs w:val="21"/>
        </w:rPr>
      </w:pPr>
    </w:p>
    <w:p>
      <w:pPr>
        <w:rPr>
          <w:rFonts w:ascii="宋体" w:hAnsi="宋体"/>
          <w:szCs w:val="21"/>
        </w:rPr>
      </w:pPr>
      <w:r>
        <w:rPr>
          <w:rFonts w:ascii="宋体" w:hAnsi="宋体"/>
          <w:szCs w:val="21"/>
        </w:rPr>
        <w:t>49.案例情景中，丁药店提起行政复议的机构应该是</w:t>
      </w:r>
    </w:p>
    <w:p>
      <w:pPr>
        <w:rPr>
          <w:rFonts w:ascii="宋体" w:hAnsi="宋体"/>
          <w:szCs w:val="21"/>
        </w:rPr>
      </w:pPr>
      <w:r>
        <w:rPr>
          <w:rFonts w:ascii="宋体" w:hAnsi="宋体"/>
          <w:szCs w:val="21"/>
        </w:rPr>
        <w:t>A.丙县市场监督管理部门</w:t>
      </w:r>
    </w:p>
    <w:p>
      <w:pPr>
        <w:rPr>
          <w:rFonts w:ascii="宋体" w:hAnsi="宋体"/>
          <w:szCs w:val="21"/>
        </w:rPr>
      </w:pPr>
      <w:r>
        <w:rPr>
          <w:rFonts w:ascii="宋体" w:hAnsi="宋体"/>
          <w:szCs w:val="21"/>
        </w:rPr>
        <w:t>B.甲省药品监督管理部门</w:t>
      </w:r>
    </w:p>
    <w:p>
      <w:pPr>
        <w:rPr>
          <w:rFonts w:ascii="宋体" w:hAnsi="宋体"/>
          <w:szCs w:val="21"/>
        </w:rPr>
      </w:pPr>
      <w:r>
        <w:rPr>
          <w:rFonts w:ascii="宋体" w:hAnsi="宋体"/>
          <w:szCs w:val="21"/>
        </w:rPr>
        <w:t xml:space="preserve">C.国家药品监督管理部门 </w:t>
      </w:r>
    </w:p>
    <w:p>
      <w:pPr>
        <w:rPr>
          <w:rFonts w:ascii="宋体" w:hAnsi="宋体"/>
          <w:szCs w:val="21"/>
        </w:rPr>
      </w:pPr>
      <w:r>
        <w:rPr>
          <w:rFonts w:ascii="宋体" w:hAnsi="宋体"/>
          <w:szCs w:val="21"/>
        </w:rPr>
        <w:t xml:space="preserve">D.丙县人民政府 </w:t>
      </w:r>
    </w:p>
    <w:p>
      <w:pPr>
        <w:rPr>
          <w:rFonts w:ascii="宋体" w:hAnsi="宋体"/>
          <w:b/>
          <w:color w:val="FF0000"/>
          <w:szCs w:val="21"/>
          <w:u w:val="single"/>
        </w:rPr>
      </w:pPr>
    </w:p>
    <w:p>
      <w:pPr>
        <w:rPr>
          <w:rFonts w:ascii="宋体" w:hAnsi="宋体"/>
          <w:b/>
          <w:color w:val="FF0000"/>
          <w:szCs w:val="21"/>
          <w:u w:val="single"/>
        </w:rPr>
      </w:pPr>
      <w:r>
        <w:rPr>
          <w:rFonts w:ascii="宋体" w:hAnsi="宋体"/>
          <w:b/>
          <w:color w:val="FF0000"/>
          <w:szCs w:val="21"/>
          <w:u w:val="single"/>
        </w:rPr>
        <w:t xml:space="preserve">多项选择题 </w:t>
      </w:r>
    </w:p>
    <w:p>
      <w:pPr>
        <w:rPr>
          <w:rFonts w:ascii="宋体" w:hAnsi="宋体"/>
          <w:szCs w:val="21"/>
        </w:rPr>
      </w:pPr>
      <w:r>
        <w:rPr>
          <w:rFonts w:ascii="宋体" w:hAnsi="宋体"/>
          <w:szCs w:val="21"/>
        </w:rPr>
        <w:t>50.根据《执业药师职业资格制度规定》, 关于执业药师职业资格管理的说法,正确的有</w:t>
      </w:r>
    </w:p>
    <w:p>
      <w:pPr>
        <w:rPr>
          <w:rFonts w:ascii="宋体" w:hAnsi="宋体"/>
          <w:szCs w:val="21"/>
        </w:rPr>
      </w:pPr>
      <w:r>
        <w:rPr>
          <w:rFonts w:ascii="宋体" w:hAnsi="宋体"/>
          <w:szCs w:val="21"/>
        </w:rPr>
        <w:t>A.参加全部科目和免试部分科目的考试人员，执业药师职业资格考试成绩均以4年为一个周期管理</w:t>
      </w:r>
    </w:p>
    <w:p>
      <w:pPr>
        <w:rPr>
          <w:rFonts w:ascii="宋体" w:hAnsi="宋体"/>
          <w:szCs w:val="21"/>
        </w:rPr>
      </w:pPr>
      <w:r>
        <w:rPr>
          <w:rFonts w:ascii="宋体" w:hAnsi="宋体"/>
          <w:szCs w:val="21"/>
        </w:rPr>
        <w:t>B.以欺骗手段取得《执业药师注册证》的，由发证机关撤销其注册证, 3年内不予执业药师注册</w:t>
      </w:r>
    </w:p>
    <w:p>
      <w:pPr>
        <w:rPr>
          <w:rFonts w:ascii="宋体" w:hAnsi="宋体"/>
          <w:szCs w:val="21"/>
        </w:rPr>
      </w:pPr>
      <w:r>
        <w:rPr>
          <w:rFonts w:ascii="宋体" w:hAnsi="宋体"/>
          <w:szCs w:val="21"/>
        </w:rPr>
        <w:t>C.严禁《执业药师注册证》挂靠，持证人注册单位与实际工作单位不符的，由发证机关撤销其注册证，并作为个人不良信息记入全国执业药师注册管理信息系统</w:t>
      </w:r>
    </w:p>
    <w:p>
      <w:pPr>
        <w:rPr>
          <w:rFonts w:ascii="宋体" w:hAnsi="宋体"/>
          <w:szCs w:val="21"/>
        </w:rPr>
      </w:pPr>
      <w:r>
        <w:rPr>
          <w:rFonts w:ascii="宋体" w:hAnsi="宋体"/>
          <w:szCs w:val="21"/>
        </w:rPr>
        <w:t xml:space="preserve">D.药品经营企业配备的执业药师，其《执业药师注册证》应由省级药品监督管理部门批准有效期为3年 </w:t>
      </w:r>
    </w:p>
    <w:p>
      <w:pPr>
        <w:rPr>
          <w:rFonts w:ascii="宋体" w:hAnsi="宋体"/>
          <w:szCs w:val="21"/>
        </w:rPr>
      </w:pPr>
    </w:p>
    <w:p>
      <w:pPr>
        <w:rPr>
          <w:rFonts w:ascii="宋体" w:hAnsi="宋体"/>
          <w:szCs w:val="21"/>
        </w:rPr>
      </w:pPr>
      <w:r>
        <w:rPr>
          <w:rFonts w:ascii="宋体" w:hAnsi="宋体"/>
          <w:szCs w:val="21"/>
        </w:rPr>
        <w:t>51.关于国家药品监督管理局职责的说法,正确的是</w:t>
      </w:r>
    </w:p>
    <w:p>
      <w:pPr>
        <w:rPr>
          <w:rFonts w:ascii="宋体" w:hAnsi="宋体"/>
          <w:szCs w:val="21"/>
        </w:rPr>
      </w:pPr>
      <w:r>
        <w:rPr>
          <w:rFonts w:ascii="宋体" w:hAnsi="宋体"/>
          <w:szCs w:val="21"/>
        </w:rPr>
        <w:t>A.负责药品安全监督管理和药品标准管理</w:t>
      </w:r>
      <w:r>
        <w:rPr>
          <w:rFonts w:ascii="宋体" w:hAnsi="宋体"/>
          <w:szCs w:val="21"/>
        </w:rPr>
        <w:tab/>
      </w:r>
    </w:p>
    <w:p>
      <w:pPr>
        <w:rPr>
          <w:rFonts w:ascii="宋体" w:hAnsi="宋体"/>
          <w:szCs w:val="21"/>
        </w:rPr>
      </w:pPr>
      <w:r>
        <w:rPr>
          <w:rFonts w:ascii="宋体" w:hAnsi="宋体"/>
          <w:szCs w:val="21"/>
        </w:rPr>
        <w:t>B.负责药品、医疗器械和化妆品的注册管理</w:t>
      </w:r>
    </w:p>
    <w:p>
      <w:pPr>
        <w:rPr>
          <w:rFonts w:ascii="宋体" w:hAnsi="宋体"/>
          <w:szCs w:val="21"/>
        </w:rPr>
      </w:pPr>
      <w:r>
        <w:rPr>
          <w:rFonts w:ascii="宋体" w:hAnsi="宋体"/>
          <w:szCs w:val="21"/>
        </w:rPr>
        <w:t>C.制定药品经营、使用质量管理规范并指导实施</w:t>
      </w:r>
    </w:p>
    <w:p>
      <w:pPr>
        <w:rPr>
          <w:rFonts w:ascii="宋体" w:hAnsi="宋体"/>
          <w:szCs w:val="21"/>
        </w:rPr>
      </w:pPr>
      <w:r>
        <w:rPr>
          <w:rFonts w:ascii="宋体" w:hAnsi="宋体"/>
          <w:szCs w:val="21"/>
        </w:rPr>
        <w:t xml:space="preserve">D.组织制定国家药物政策和国家基本药物制度 </w:t>
      </w:r>
    </w:p>
    <w:p>
      <w:pPr>
        <w:rPr>
          <w:rFonts w:ascii="宋体" w:hAnsi="宋体"/>
          <w:szCs w:val="21"/>
        </w:rPr>
      </w:pPr>
    </w:p>
    <w:p>
      <w:pPr>
        <w:rPr>
          <w:rFonts w:ascii="宋体" w:hAnsi="宋体"/>
          <w:szCs w:val="21"/>
        </w:rPr>
      </w:pPr>
      <w:r>
        <w:rPr>
          <w:rFonts w:ascii="宋体" w:hAnsi="宋体"/>
          <w:szCs w:val="21"/>
        </w:rPr>
        <w:t>52.根据《关于印发 &lt; 国家基本医疗保险、工伤保险和生育保险药品目录 &gt; 的通知》，各省级医疗保障部门不得增加医疗保险药品目录内药品的有</w:t>
      </w:r>
    </w:p>
    <w:p>
      <w:pPr>
        <w:rPr>
          <w:rFonts w:ascii="宋体" w:hAnsi="宋体"/>
          <w:szCs w:val="21"/>
        </w:rPr>
      </w:pPr>
      <w:r>
        <w:rPr>
          <w:rFonts w:ascii="宋体" w:hAnsi="宋体"/>
          <w:szCs w:val="21"/>
        </w:rPr>
        <w:t>A. 甲类目录药品</w:t>
      </w:r>
    </w:p>
    <w:p>
      <w:pPr>
        <w:rPr>
          <w:rFonts w:ascii="宋体" w:hAnsi="宋体"/>
          <w:szCs w:val="21"/>
        </w:rPr>
      </w:pPr>
      <w:r>
        <w:rPr>
          <w:rFonts w:ascii="宋体" w:hAnsi="宋体"/>
          <w:szCs w:val="21"/>
        </w:rPr>
        <w:t>B. 乙类目录药品</w:t>
      </w:r>
    </w:p>
    <w:p>
      <w:pPr>
        <w:rPr>
          <w:rFonts w:ascii="宋体" w:hAnsi="宋体"/>
          <w:szCs w:val="21"/>
        </w:rPr>
      </w:pPr>
      <w:r>
        <w:rPr>
          <w:rFonts w:ascii="宋体" w:hAnsi="宋体"/>
          <w:szCs w:val="21"/>
        </w:rPr>
        <w:t>C. 医疗保险药品目录中规定的不予支付的中药饮片</w:t>
      </w:r>
    </w:p>
    <w:p>
      <w:pPr>
        <w:rPr>
          <w:rFonts w:ascii="宋体" w:hAnsi="宋体"/>
          <w:szCs w:val="21"/>
        </w:rPr>
      </w:pPr>
      <w:r>
        <w:rPr>
          <w:rFonts w:ascii="宋体" w:hAnsi="宋体"/>
          <w:szCs w:val="21"/>
        </w:rPr>
        <w:t xml:space="preserve">D. 经国家有关部门批准上市的民族药品 </w:t>
      </w:r>
    </w:p>
    <w:p>
      <w:pPr>
        <w:rPr>
          <w:rFonts w:ascii="宋体" w:hAnsi="宋体"/>
          <w:szCs w:val="21"/>
        </w:rPr>
      </w:pPr>
    </w:p>
    <w:p>
      <w:pPr>
        <w:rPr>
          <w:rFonts w:ascii="宋体" w:hAnsi="宋体"/>
          <w:szCs w:val="21"/>
        </w:rPr>
      </w:pPr>
      <w:r>
        <w:rPr>
          <w:rFonts w:ascii="宋体" w:hAnsi="宋体"/>
          <w:szCs w:val="21"/>
        </w:rPr>
        <w:t>53.根据《生物制品批签发管理办法》（总局令第39 号），在每批产品上市销售前或进口时，都应当通过批签发审核检验。未通过批签发的产品，不得上市销售或进口的药品包括</w:t>
      </w:r>
    </w:p>
    <w:p>
      <w:pPr>
        <w:rPr>
          <w:rFonts w:ascii="宋体" w:hAnsi="宋体"/>
          <w:szCs w:val="21"/>
        </w:rPr>
      </w:pPr>
      <w:r>
        <w:rPr>
          <w:rFonts w:ascii="宋体" w:hAnsi="宋体"/>
          <w:szCs w:val="21"/>
        </w:rPr>
        <w:t>A. 疫苗类制品</w:t>
      </w:r>
    </w:p>
    <w:p>
      <w:pPr>
        <w:rPr>
          <w:rFonts w:ascii="宋体" w:hAnsi="宋体"/>
          <w:szCs w:val="21"/>
        </w:rPr>
      </w:pPr>
      <w:r>
        <w:rPr>
          <w:rFonts w:ascii="宋体" w:hAnsi="宋体"/>
          <w:szCs w:val="21"/>
        </w:rPr>
        <w:t>B. 血液制品</w:t>
      </w:r>
    </w:p>
    <w:p>
      <w:pPr>
        <w:rPr>
          <w:rFonts w:ascii="宋体" w:hAnsi="宋体"/>
          <w:szCs w:val="21"/>
        </w:rPr>
      </w:pPr>
      <w:r>
        <w:rPr>
          <w:rFonts w:ascii="宋体" w:hAnsi="宋体"/>
          <w:szCs w:val="21"/>
        </w:rPr>
        <w:t>C. 用于血源筛查的体外诊断试剂</w:t>
      </w:r>
    </w:p>
    <w:p>
      <w:pPr>
        <w:rPr>
          <w:rFonts w:ascii="宋体" w:hAnsi="宋体"/>
          <w:szCs w:val="21"/>
        </w:rPr>
      </w:pPr>
      <w:r>
        <w:rPr>
          <w:rFonts w:ascii="宋体" w:hAnsi="宋体"/>
          <w:szCs w:val="21"/>
        </w:rPr>
        <w:t xml:space="preserve">D. 用于放射性核素标记的体外诊断试剂 </w:t>
      </w:r>
    </w:p>
    <w:p>
      <w:pPr>
        <w:rPr>
          <w:rFonts w:ascii="宋体" w:hAnsi="宋体"/>
          <w:szCs w:val="21"/>
        </w:rPr>
      </w:pPr>
    </w:p>
    <w:p>
      <w:pPr>
        <w:rPr>
          <w:rFonts w:ascii="宋体" w:hAnsi="宋体"/>
          <w:szCs w:val="21"/>
        </w:rPr>
      </w:pPr>
    </w:p>
    <w:p/>
    <w:sectPr>
      <w:headerReference r:id="rId5" w:type="first"/>
      <w:footerReference r:id="rId8" w:type="first"/>
      <w:headerReference r:id="rId3" w:type="default"/>
      <w:footerReference r:id="rId6" w:type="default"/>
      <w:headerReference r:id="rId4" w:type="even"/>
      <w:footerReference r:id="rId7" w:type="even"/>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t>www.med66.com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11811000" cy="16706850"/>
          <wp:effectExtent l="0" t="0" r="0" b="0"/>
          <wp:wrapNone/>
          <wp:docPr id="10" name="WordPictureWatermark13470407"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PictureWatermark13470407"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2405" cy="7455535"/>
          <wp:effectExtent l="0" t="0" r="4445" b="12065"/>
          <wp:wrapNone/>
          <wp:docPr id="4" name="WordPictureWatermark18629875"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8629875"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r>
      <w:drawing>
        <wp:inline distT="0" distB="0" distL="0" distR="0">
          <wp:extent cx="1219200" cy="320675"/>
          <wp:effectExtent l="19050" t="0" r="0" b="0"/>
          <wp:docPr id="1"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广告水印.png"/>
                  <pic:cNvPicPr>
                    <a:picLocks noChangeAspect="1"/>
                  </pic:cNvPicPr>
                </pic:nvPicPr>
                <pic:blipFill>
                  <a:blip r:embed="rId3"/>
                  <a:stretch>
                    <a:fillRect/>
                  </a:stretch>
                </pic:blipFill>
                <pic:spPr>
                  <a:xfrm>
                    <a:off x="0" y="0"/>
                    <a:ext cx="1219200" cy="320842"/>
                  </a:xfrm>
                  <a:prstGeom prst="rect">
                    <a:avLst/>
                  </a:prstGeom>
                </pic:spPr>
              </pic:pic>
            </a:graphicData>
          </a:graphic>
        </wp:inline>
      </w:drawing>
    </w:r>
    <w:r>
      <w:rPr>
        <w:rFonts w:hint="eastAsia"/>
      </w:rPr>
      <w:t xml:space="preserve">                       微信公众号：med66_yaoshi  客服电话010-82311666  官网：</w:t>
    </w:r>
    <w:r>
      <w:fldChar w:fldCharType="begin"/>
    </w:r>
    <w:r>
      <w:instrText xml:space="preserve"> HYPERLINK "//www.med66.com/" </w:instrText>
    </w:r>
    <w:r>
      <w:fldChar w:fldCharType="separate"/>
    </w:r>
    <w:r>
      <w:rPr>
        <w:rStyle w:val="12"/>
      </w:rPr>
      <w:t>//www.med66.com/</w:t>
    </w:r>
    <w:r>
      <w:rPr>
        <w:rStyle w:val="1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11811000" cy="16706850"/>
          <wp:effectExtent l="0" t="0" r="0" b="0"/>
          <wp:wrapNone/>
          <wp:docPr id="9" name="WordPictureWatermark13470406"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PictureWatermark13470406"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2405" cy="7455535"/>
          <wp:effectExtent l="0" t="0" r="4445" b="12065"/>
          <wp:wrapNone/>
          <wp:docPr id="3" name="WordPictureWatermark18629874"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8629874"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1811000" cy="16706850"/>
          <wp:effectExtent l="0" t="0" r="0" b="0"/>
          <wp:wrapNone/>
          <wp:docPr id="8" name="WordPictureWatermark13470405"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PictureWatermark13470405"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72405" cy="7455535"/>
          <wp:effectExtent l="0" t="0" r="4445" b="12065"/>
          <wp:wrapNone/>
          <wp:docPr id="2" name="WordPictureWatermark18629873"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29873"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838"/>
    <w:rsid w:val="001B209C"/>
    <w:rsid w:val="00374A91"/>
    <w:rsid w:val="003B7A5A"/>
    <w:rsid w:val="003E36E2"/>
    <w:rsid w:val="00501136"/>
    <w:rsid w:val="00683BDC"/>
    <w:rsid w:val="007527C4"/>
    <w:rsid w:val="00812ED2"/>
    <w:rsid w:val="00847D04"/>
    <w:rsid w:val="008C256C"/>
    <w:rsid w:val="008F5E35"/>
    <w:rsid w:val="009510BA"/>
    <w:rsid w:val="00A72CED"/>
    <w:rsid w:val="00AE692B"/>
    <w:rsid w:val="00AE7838"/>
    <w:rsid w:val="00BA1DA9"/>
    <w:rsid w:val="00C62E8D"/>
    <w:rsid w:val="00E30C6D"/>
    <w:rsid w:val="00FA7465"/>
    <w:rsid w:val="0B5B3499"/>
    <w:rsid w:val="1402713F"/>
    <w:rsid w:val="26B50DA3"/>
    <w:rsid w:val="28BD5493"/>
    <w:rsid w:val="2D446273"/>
    <w:rsid w:val="4A0F6B5F"/>
    <w:rsid w:val="6B967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page number"/>
    <w:basedOn w:val="9"/>
    <w:uiPriority w:val="0"/>
  </w:style>
  <w:style w:type="character" w:styleId="12">
    <w:name w:val="Hyperlink"/>
    <w:basedOn w:val="9"/>
    <w:unhideWhenUsed/>
    <w:qFormat/>
    <w:uiPriority w:val="99"/>
    <w:rPr>
      <w:color w:val="0000FF"/>
      <w:u w:val="single"/>
    </w:rPr>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semiHidden/>
    <w:qFormat/>
    <w:uiPriority w:val="99"/>
    <w:rPr>
      <w:sz w:val="18"/>
      <w:szCs w:val="18"/>
    </w:rPr>
  </w:style>
  <w:style w:type="character" w:customStyle="1" w:styleId="15">
    <w:name w:val="批注框文本 Char"/>
    <w:basedOn w:val="9"/>
    <w:link w:val="3"/>
    <w:semiHidden/>
    <w:qFormat/>
    <w:uiPriority w:val="99"/>
    <w:rPr>
      <w:sz w:val="18"/>
      <w:szCs w:val="18"/>
    </w:rPr>
  </w:style>
  <w:style w:type="paragraph" w:customStyle="1" w:styleId="16">
    <w:name w:val="Default"/>
    <w:uiPriority w:val="0"/>
    <w:pPr>
      <w:widowControl w:val="0"/>
      <w:autoSpaceDE w:val="0"/>
      <w:autoSpaceDN w:val="0"/>
      <w:adjustRightInd w:val="0"/>
    </w:pPr>
    <w:rPr>
      <w:rFonts w:ascii="MingLiU" w:hAnsi="Times New Roman" w:eastAsia="MingLiU" w:cs="MingLiU"/>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0</Characters>
  <Lines>1</Lines>
  <Paragraphs>1</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2018-11-15T06:06:00Z</dcterms:created>
  <dc:creator>DELL</dc:creator>
  <cp:lastModifiedBy>刘敏洁</cp:lastModifiedBy>
  <cp:lastPrinted>2019-11-07T02:58:00Z</cp:lastPrinted>
  <dcterms:modified xsi:type="dcterms:W3CDTF">2020-08-07T05:55:29Z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y fmtid="{D5CDD505-2E9C-101B-9397-08002B2CF9AE}" pid="3" name="KSORubyTemplateID" linkTarget="0">
    <vt:lpwstr>6</vt:lpwstr>
  </property>
</Properties>
</file>