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800" w:lineRule="exact"/>
        <w:jc w:val="center"/>
        <w:rPr>
          <w:rFonts w:ascii="宋体" w:cs="宋体"/>
          <w:b/>
          <w:w w:val="85"/>
          <w:kern w:val="0"/>
          <w:sz w:val="44"/>
          <w:szCs w:val="44"/>
          <w:highlight w:val="none"/>
        </w:rPr>
      </w:pPr>
      <w:bookmarkStart w:id="0" w:name="_Toc6286_WPSOffice_Level1"/>
      <w:r>
        <w:rPr>
          <w:rFonts w:hint="eastAsia" w:ascii="宋体" w:hAnsi="宋体" w:cs="宋体"/>
          <w:b/>
          <w:w w:val="85"/>
          <w:kern w:val="0"/>
          <w:sz w:val="44"/>
          <w:szCs w:val="44"/>
          <w:highlight w:val="none"/>
          <w:lang w:val="en-US" w:eastAsia="zh-CN"/>
        </w:rPr>
        <w:t>厦门医学院附属第二医院、附属口腔医院补充</w:t>
      </w:r>
      <w:r>
        <w:rPr>
          <w:rFonts w:hint="eastAsia" w:ascii="宋体" w:hAnsi="宋体" w:cs="宋体"/>
          <w:b/>
          <w:w w:val="85"/>
          <w:kern w:val="0"/>
          <w:sz w:val="44"/>
          <w:szCs w:val="44"/>
          <w:highlight w:val="none"/>
        </w:rPr>
        <w:t>编</w:t>
      </w:r>
      <w:r>
        <w:rPr>
          <w:rFonts w:hint="eastAsia" w:ascii="宋体" w:hAnsi="宋体" w:cs="宋体"/>
          <w:b/>
          <w:w w:val="85"/>
          <w:kern w:val="0"/>
          <w:sz w:val="44"/>
          <w:szCs w:val="44"/>
          <w:highlight w:val="none"/>
          <w:lang w:eastAsia="zh-CN"/>
        </w:rPr>
        <w:t>外</w:t>
      </w:r>
      <w:r>
        <w:rPr>
          <w:rFonts w:hint="eastAsia" w:ascii="宋体" w:hAnsi="宋体" w:cs="宋体"/>
          <w:b/>
          <w:w w:val="85"/>
          <w:kern w:val="0"/>
          <w:sz w:val="44"/>
          <w:szCs w:val="44"/>
          <w:highlight w:val="none"/>
        </w:rPr>
        <w:t>工作人员</w:t>
      </w:r>
      <w:r>
        <w:rPr>
          <w:rFonts w:hint="eastAsia" w:ascii="宋体" w:hAnsi="宋体" w:cs="宋体"/>
          <w:b/>
          <w:w w:val="85"/>
          <w:kern w:val="0"/>
          <w:sz w:val="44"/>
          <w:szCs w:val="44"/>
          <w:highlight w:val="none"/>
          <w:lang w:val="en-US" w:eastAsia="zh-CN"/>
        </w:rPr>
        <w:t>考试</w:t>
      </w:r>
      <w:r>
        <w:rPr>
          <w:rFonts w:hint="eastAsia" w:ascii="宋体" w:hAnsi="宋体" w:cs="宋体"/>
          <w:b/>
          <w:w w:val="85"/>
          <w:kern w:val="0"/>
          <w:sz w:val="44"/>
          <w:szCs w:val="44"/>
          <w:highlight w:val="none"/>
          <w:lang w:eastAsia="zh-CN"/>
        </w:rPr>
        <w:t>（</w:t>
      </w:r>
      <w:r>
        <w:rPr>
          <w:rFonts w:hint="eastAsia" w:ascii="宋体" w:hAnsi="宋体" w:cs="宋体"/>
          <w:b/>
          <w:w w:val="85"/>
          <w:kern w:val="0"/>
          <w:sz w:val="44"/>
          <w:szCs w:val="44"/>
          <w:highlight w:val="none"/>
          <w:lang w:val="en-US" w:eastAsia="zh-CN"/>
        </w:rPr>
        <w:t>2020年7月</w:t>
      </w:r>
      <w:r>
        <w:rPr>
          <w:rFonts w:hint="eastAsia" w:ascii="宋体" w:hAnsi="宋体" w:cs="宋体"/>
          <w:b/>
          <w:w w:val="85"/>
          <w:kern w:val="0"/>
          <w:sz w:val="44"/>
          <w:szCs w:val="44"/>
          <w:highlight w:val="none"/>
          <w:lang w:eastAsia="zh-CN"/>
        </w:rPr>
        <w:t>）</w:t>
      </w:r>
      <w:r>
        <w:rPr>
          <w:rFonts w:hint="eastAsia" w:ascii="宋体" w:hAnsi="宋体" w:cs="宋体"/>
          <w:b/>
          <w:w w:val="85"/>
          <w:kern w:val="0"/>
          <w:sz w:val="44"/>
          <w:szCs w:val="44"/>
          <w:highlight w:val="none"/>
        </w:rPr>
        <w:t>报考指南</w:t>
      </w:r>
      <w:bookmarkEnd w:id="0"/>
    </w:p>
    <w:p>
      <w:pPr>
        <w:jc w:val="center"/>
        <w:rPr>
          <w:rFonts w:ascii="宋体"/>
          <w:b/>
          <w:bCs/>
          <w:sz w:val="44"/>
          <w:szCs w:val="44"/>
          <w:highlight w:val="none"/>
        </w:rPr>
      </w:pPr>
    </w:p>
    <w:p>
      <w:pPr>
        <w:spacing w:afterLines="100" w:line="500" w:lineRule="exact"/>
        <w:jc w:val="center"/>
        <w:rPr>
          <w:rFonts w:ascii="宋体"/>
          <w:b/>
          <w:bCs/>
          <w:sz w:val="44"/>
          <w:szCs w:val="44"/>
          <w:highlight w:val="none"/>
        </w:rPr>
      </w:pPr>
      <w:r>
        <w:rPr>
          <w:rFonts w:hint="eastAsia" w:ascii="宋体" w:hAnsi="宋体"/>
          <w:b/>
          <w:bCs/>
          <w:sz w:val="44"/>
          <w:szCs w:val="44"/>
          <w:highlight w:val="none"/>
        </w:rPr>
        <w:t>目录</w:t>
      </w:r>
    </w:p>
    <w:p>
      <w:pPr>
        <w:pStyle w:val="16"/>
        <w:tabs>
          <w:tab w:val="right" w:leader="dot" w:pos="8306"/>
        </w:tabs>
        <w:spacing w:line="420" w:lineRule="exact"/>
        <w:rPr>
          <w:rFonts w:ascii="黑体" w:hAnsi="黑体" w:eastAsia="黑体" w:cs="黑体"/>
          <w:sz w:val="28"/>
          <w:szCs w:val="28"/>
          <w:highlight w:val="none"/>
        </w:rPr>
      </w:pPr>
      <w:r>
        <w:rPr>
          <w:rFonts w:ascii="黑体" w:hAnsi="黑体" w:eastAsia="黑体" w:cs="黑体"/>
          <w:sz w:val="28"/>
          <w:szCs w:val="28"/>
          <w:highlight w:val="none"/>
        </w:rPr>
        <w:fldChar w:fldCharType="begin"/>
      </w:r>
      <w:r>
        <w:rPr>
          <w:rFonts w:ascii="黑体" w:hAnsi="黑体" w:eastAsia="黑体" w:cs="黑体"/>
          <w:sz w:val="28"/>
          <w:szCs w:val="28"/>
          <w:highlight w:val="none"/>
        </w:rPr>
        <w:instrText xml:space="preserve">TOC \o "1-2" \h \u </w:instrText>
      </w:r>
      <w:r>
        <w:rPr>
          <w:rFonts w:ascii="黑体" w:hAnsi="黑体" w:eastAsia="黑体" w:cs="黑体"/>
          <w:sz w:val="28"/>
          <w:szCs w:val="28"/>
          <w:highlight w:val="none"/>
        </w:rPr>
        <w:fldChar w:fldCharType="separate"/>
      </w:r>
      <w:r>
        <w:rPr>
          <w:highlight w:val="none"/>
        </w:rPr>
        <w:fldChar w:fldCharType="begin"/>
      </w:r>
      <w:r>
        <w:rPr>
          <w:highlight w:val="none"/>
        </w:rPr>
        <w:instrText xml:space="preserve"> HYPERLINK \l "_Toc28623" </w:instrText>
      </w:r>
      <w:r>
        <w:rPr>
          <w:highlight w:val="none"/>
        </w:rPr>
        <w:fldChar w:fldCharType="separate"/>
      </w:r>
      <w:r>
        <w:rPr>
          <w:rFonts w:hint="eastAsia" w:ascii="黑体" w:hAnsi="黑体" w:eastAsia="黑体" w:cs="黑体"/>
          <w:sz w:val="28"/>
          <w:szCs w:val="28"/>
          <w:highlight w:val="none"/>
        </w:rPr>
        <w:t>一、基本条件</w:t>
      </w:r>
      <w:r>
        <w:rPr>
          <w:rFonts w:ascii="黑体" w:hAnsi="黑体" w:eastAsia="黑体" w:cs="黑体"/>
          <w:sz w:val="28"/>
          <w:szCs w:val="28"/>
          <w:highlight w:val="none"/>
        </w:rPr>
        <w:tab/>
      </w:r>
      <w:r>
        <w:rPr>
          <w:rFonts w:ascii="黑体" w:hAnsi="黑体" w:eastAsia="黑体" w:cs="黑体"/>
          <w:sz w:val="28"/>
          <w:szCs w:val="28"/>
          <w:highlight w:val="none"/>
        </w:rPr>
        <w:fldChar w:fldCharType="begin"/>
      </w:r>
      <w:r>
        <w:rPr>
          <w:rFonts w:ascii="黑体" w:hAnsi="黑体" w:eastAsia="黑体" w:cs="黑体"/>
          <w:sz w:val="28"/>
          <w:szCs w:val="28"/>
          <w:highlight w:val="none"/>
        </w:rPr>
        <w:instrText xml:space="preserve"> PAGEREF _Toc28623 </w:instrText>
      </w:r>
      <w:r>
        <w:rPr>
          <w:rFonts w:ascii="黑体" w:hAnsi="黑体" w:eastAsia="黑体" w:cs="黑体"/>
          <w:sz w:val="28"/>
          <w:szCs w:val="28"/>
          <w:highlight w:val="none"/>
        </w:rPr>
        <w:fldChar w:fldCharType="separate"/>
      </w:r>
      <w:r>
        <w:rPr>
          <w:rFonts w:ascii="黑体" w:hAnsi="黑体" w:eastAsia="黑体" w:cs="黑体"/>
          <w:sz w:val="28"/>
          <w:szCs w:val="28"/>
          <w:highlight w:val="none"/>
        </w:rPr>
        <w:t>1</w:t>
      </w:r>
      <w:r>
        <w:rPr>
          <w:rFonts w:ascii="黑体" w:hAnsi="黑体" w:eastAsia="黑体" w:cs="黑体"/>
          <w:sz w:val="28"/>
          <w:szCs w:val="28"/>
          <w:highlight w:val="none"/>
        </w:rPr>
        <w:fldChar w:fldCharType="end"/>
      </w:r>
      <w:r>
        <w:rPr>
          <w:rFonts w:ascii="黑体" w:hAnsi="黑体" w:eastAsia="黑体" w:cs="黑体"/>
          <w:sz w:val="28"/>
          <w:szCs w:val="28"/>
          <w:highlight w:val="none"/>
        </w:rPr>
        <w:fldChar w:fldCharType="end"/>
      </w:r>
    </w:p>
    <w:p>
      <w:pPr>
        <w:pStyle w:val="16"/>
        <w:tabs>
          <w:tab w:val="right" w:leader="dot" w:pos="8306"/>
        </w:tabs>
        <w:spacing w:line="420" w:lineRule="exact"/>
        <w:rPr>
          <w:rFonts w:ascii="黑体" w:hAnsi="黑体" w:eastAsia="黑体" w:cs="黑体"/>
          <w:sz w:val="28"/>
          <w:szCs w:val="28"/>
          <w:highlight w:val="none"/>
        </w:rPr>
      </w:pPr>
      <w:r>
        <w:rPr>
          <w:highlight w:val="none"/>
        </w:rPr>
        <w:fldChar w:fldCharType="begin"/>
      </w:r>
      <w:r>
        <w:rPr>
          <w:highlight w:val="none"/>
        </w:rPr>
        <w:instrText xml:space="preserve"> HYPERLINK \l "_Toc12538" </w:instrText>
      </w:r>
      <w:r>
        <w:rPr>
          <w:highlight w:val="none"/>
        </w:rPr>
        <w:fldChar w:fldCharType="separate"/>
      </w:r>
      <w:r>
        <w:rPr>
          <w:rFonts w:hint="eastAsia" w:ascii="黑体" w:hAnsi="黑体" w:eastAsia="黑体" w:cs="黑体"/>
          <w:sz w:val="28"/>
          <w:szCs w:val="28"/>
          <w:highlight w:val="none"/>
        </w:rPr>
        <w:t>二、不得报考或取消报考（</w:t>
      </w:r>
      <w:r>
        <w:rPr>
          <w:rFonts w:hint="eastAsia" w:ascii="黑体" w:hAnsi="黑体" w:eastAsia="黑体" w:cs="黑体"/>
          <w:sz w:val="28"/>
          <w:szCs w:val="28"/>
          <w:highlight w:val="none"/>
          <w:lang w:eastAsia="zh-CN"/>
        </w:rPr>
        <w:t>录取</w:t>
      </w:r>
      <w:r>
        <w:rPr>
          <w:rFonts w:hint="eastAsia" w:ascii="黑体" w:hAnsi="黑体" w:eastAsia="黑体" w:cs="黑体"/>
          <w:sz w:val="28"/>
          <w:szCs w:val="28"/>
          <w:highlight w:val="none"/>
        </w:rPr>
        <w:t>）资格的情形</w:t>
      </w:r>
      <w:r>
        <w:rPr>
          <w:rFonts w:ascii="黑体" w:hAnsi="黑体" w:eastAsia="黑体" w:cs="黑体"/>
          <w:sz w:val="28"/>
          <w:szCs w:val="28"/>
          <w:highlight w:val="none"/>
        </w:rPr>
        <w:tab/>
      </w:r>
      <w:r>
        <w:rPr>
          <w:rFonts w:ascii="黑体" w:hAnsi="黑体" w:eastAsia="黑体" w:cs="黑体"/>
          <w:sz w:val="28"/>
          <w:szCs w:val="28"/>
          <w:highlight w:val="none"/>
        </w:rPr>
        <w:fldChar w:fldCharType="begin"/>
      </w:r>
      <w:r>
        <w:rPr>
          <w:rFonts w:ascii="黑体" w:hAnsi="黑体" w:eastAsia="黑体" w:cs="黑体"/>
          <w:sz w:val="28"/>
          <w:szCs w:val="28"/>
          <w:highlight w:val="none"/>
        </w:rPr>
        <w:instrText xml:space="preserve"> PAGEREF _Toc12538 </w:instrText>
      </w:r>
      <w:r>
        <w:rPr>
          <w:rFonts w:ascii="黑体" w:hAnsi="黑体" w:eastAsia="黑体" w:cs="黑体"/>
          <w:sz w:val="28"/>
          <w:szCs w:val="28"/>
          <w:highlight w:val="none"/>
        </w:rPr>
        <w:fldChar w:fldCharType="separate"/>
      </w:r>
      <w:r>
        <w:rPr>
          <w:rFonts w:ascii="黑体" w:hAnsi="黑体" w:eastAsia="黑体" w:cs="黑体"/>
          <w:sz w:val="28"/>
          <w:szCs w:val="28"/>
          <w:highlight w:val="none"/>
        </w:rPr>
        <w:t>1</w:t>
      </w:r>
      <w:r>
        <w:rPr>
          <w:rFonts w:ascii="黑体" w:hAnsi="黑体" w:eastAsia="黑体" w:cs="黑体"/>
          <w:sz w:val="28"/>
          <w:szCs w:val="28"/>
          <w:highlight w:val="none"/>
        </w:rPr>
        <w:fldChar w:fldCharType="end"/>
      </w:r>
      <w:r>
        <w:rPr>
          <w:rFonts w:ascii="黑体" w:hAnsi="黑体" w:eastAsia="黑体" w:cs="黑体"/>
          <w:sz w:val="28"/>
          <w:szCs w:val="28"/>
          <w:highlight w:val="none"/>
        </w:rPr>
        <w:fldChar w:fldCharType="end"/>
      </w:r>
    </w:p>
    <w:p>
      <w:pPr>
        <w:pStyle w:val="16"/>
        <w:tabs>
          <w:tab w:val="right" w:leader="dot" w:pos="8306"/>
        </w:tabs>
        <w:spacing w:line="420" w:lineRule="exact"/>
        <w:rPr>
          <w:rFonts w:ascii="黑体" w:hAnsi="黑体" w:eastAsia="黑体" w:cs="黑体"/>
          <w:sz w:val="28"/>
          <w:szCs w:val="28"/>
          <w:highlight w:val="none"/>
        </w:rPr>
      </w:pPr>
      <w:r>
        <w:rPr>
          <w:highlight w:val="none"/>
        </w:rPr>
        <w:fldChar w:fldCharType="begin"/>
      </w:r>
      <w:r>
        <w:rPr>
          <w:highlight w:val="none"/>
        </w:rPr>
        <w:instrText xml:space="preserve"> HYPERLINK \l "_Toc12881" </w:instrText>
      </w:r>
      <w:r>
        <w:rPr>
          <w:highlight w:val="none"/>
        </w:rPr>
        <w:fldChar w:fldCharType="separate"/>
      </w:r>
      <w:r>
        <w:rPr>
          <w:rFonts w:hint="eastAsia" w:ascii="黑体" w:hAnsi="黑体" w:eastAsia="黑体" w:cs="黑体"/>
          <w:sz w:val="28"/>
          <w:szCs w:val="28"/>
          <w:highlight w:val="none"/>
        </w:rPr>
        <w:t>三、选报岗位须知</w:t>
      </w:r>
      <w:r>
        <w:rPr>
          <w:rFonts w:ascii="黑体" w:hAnsi="黑体" w:eastAsia="黑体" w:cs="黑体"/>
          <w:sz w:val="28"/>
          <w:szCs w:val="28"/>
          <w:highlight w:val="none"/>
        </w:rPr>
        <w:tab/>
      </w:r>
      <w:r>
        <w:rPr>
          <w:rFonts w:ascii="黑体" w:hAnsi="黑体" w:eastAsia="黑体" w:cs="黑体"/>
          <w:sz w:val="28"/>
          <w:szCs w:val="28"/>
          <w:highlight w:val="none"/>
        </w:rPr>
        <w:fldChar w:fldCharType="begin"/>
      </w:r>
      <w:r>
        <w:rPr>
          <w:rFonts w:ascii="黑体" w:hAnsi="黑体" w:eastAsia="黑体" w:cs="黑体"/>
          <w:sz w:val="28"/>
          <w:szCs w:val="28"/>
          <w:highlight w:val="none"/>
        </w:rPr>
        <w:instrText xml:space="preserve"> PAGEREF _Toc12881 </w:instrText>
      </w:r>
      <w:r>
        <w:rPr>
          <w:rFonts w:ascii="黑体" w:hAnsi="黑体" w:eastAsia="黑体" w:cs="黑体"/>
          <w:sz w:val="28"/>
          <w:szCs w:val="28"/>
          <w:highlight w:val="none"/>
        </w:rPr>
        <w:fldChar w:fldCharType="separate"/>
      </w:r>
      <w:r>
        <w:rPr>
          <w:rFonts w:ascii="黑体" w:hAnsi="黑体" w:eastAsia="黑体" w:cs="黑体"/>
          <w:sz w:val="28"/>
          <w:szCs w:val="28"/>
          <w:highlight w:val="none"/>
        </w:rPr>
        <w:t>2</w:t>
      </w:r>
      <w:r>
        <w:rPr>
          <w:rFonts w:ascii="黑体" w:hAnsi="黑体" w:eastAsia="黑体" w:cs="黑体"/>
          <w:sz w:val="28"/>
          <w:szCs w:val="28"/>
          <w:highlight w:val="none"/>
        </w:rPr>
        <w:fldChar w:fldCharType="end"/>
      </w:r>
      <w:r>
        <w:rPr>
          <w:rFonts w:ascii="黑体" w:hAnsi="黑体" w:eastAsia="黑体" w:cs="黑体"/>
          <w:sz w:val="28"/>
          <w:szCs w:val="28"/>
          <w:highlight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highlight w:val="none"/>
        </w:rPr>
        <w:fldChar w:fldCharType="begin"/>
      </w:r>
      <w:r>
        <w:rPr>
          <w:highlight w:val="none"/>
        </w:rPr>
        <w:instrText xml:space="preserve"> HYPERLINK \l "_Toc27700" </w:instrText>
      </w:r>
      <w:r>
        <w:rPr>
          <w:highlight w:val="none"/>
        </w:rPr>
        <w:fldChar w:fldCharType="separate"/>
      </w:r>
      <w:r>
        <w:rPr>
          <w:rFonts w:hint="eastAsia" w:ascii="楷体" w:hAnsi="楷体" w:eastAsia="楷体" w:cs="楷体"/>
          <w:sz w:val="28"/>
          <w:szCs w:val="28"/>
          <w:highlight w:val="none"/>
        </w:rPr>
        <w:t>（一）</w:t>
      </w:r>
      <w:r>
        <w:rPr>
          <w:rFonts w:hint="eastAsia" w:ascii="楷体" w:hAnsi="楷体" w:eastAsia="楷体" w:cs="楷体"/>
          <w:sz w:val="28"/>
          <w:szCs w:val="28"/>
          <w:highlight w:val="none"/>
          <w:lang w:eastAsia="zh-CN"/>
        </w:rPr>
        <w:t>岗位资格条件确认</w:t>
      </w:r>
      <w:r>
        <w:rPr>
          <w:rFonts w:ascii="楷体" w:hAnsi="楷体" w:eastAsia="楷体" w:cs="楷体"/>
          <w:sz w:val="28"/>
          <w:szCs w:val="28"/>
          <w:highlight w:val="none"/>
        </w:rPr>
        <w:tab/>
      </w:r>
      <w:r>
        <w:rPr>
          <w:rFonts w:ascii="楷体" w:hAnsi="楷体" w:eastAsia="楷体" w:cs="楷体"/>
          <w:sz w:val="28"/>
          <w:szCs w:val="28"/>
          <w:highlight w:val="none"/>
        </w:rPr>
        <w:fldChar w:fldCharType="begin"/>
      </w:r>
      <w:r>
        <w:rPr>
          <w:rFonts w:ascii="楷体" w:hAnsi="楷体" w:eastAsia="楷体" w:cs="楷体"/>
          <w:sz w:val="28"/>
          <w:szCs w:val="28"/>
          <w:highlight w:val="none"/>
        </w:rPr>
        <w:instrText xml:space="preserve"> PAGEREF _Toc27700 </w:instrText>
      </w:r>
      <w:r>
        <w:rPr>
          <w:rFonts w:ascii="楷体" w:hAnsi="楷体" w:eastAsia="楷体" w:cs="楷体"/>
          <w:sz w:val="28"/>
          <w:szCs w:val="28"/>
          <w:highlight w:val="none"/>
        </w:rPr>
        <w:fldChar w:fldCharType="separate"/>
      </w:r>
      <w:r>
        <w:rPr>
          <w:rFonts w:ascii="楷体" w:hAnsi="楷体" w:eastAsia="楷体" w:cs="楷体"/>
          <w:sz w:val="28"/>
          <w:szCs w:val="28"/>
          <w:highlight w:val="none"/>
        </w:rPr>
        <w:t>2</w:t>
      </w:r>
      <w:r>
        <w:rPr>
          <w:rFonts w:ascii="楷体" w:hAnsi="楷体" w:eastAsia="楷体" w:cs="楷体"/>
          <w:sz w:val="28"/>
          <w:szCs w:val="28"/>
          <w:highlight w:val="none"/>
        </w:rPr>
        <w:fldChar w:fldCharType="end"/>
      </w:r>
      <w:r>
        <w:rPr>
          <w:rFonts w:ascii="楷体" w:hAnsi="楷体" w:eastAsia="楷体" w:cs="楷体"/>
          <w:sz w:val="28"/>
          <w:szCs w:val="28"/>
          <w:highlight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highlight w:val="none"/>
        </w:rPr>
        <w:fldChar w:fldCharType="begin"/>
      </w:r>
      <w:r>
        <w:rPr>
          <w:highlight w:val="none"/>
        </w:rPr>
        <w:instrText xml:space="preserve"> HYPERLINK \l "_Toc8070" </w:instrText>
      </w:r>
      <w:r>
        <w:rPr>
          <w:highlight w:val="none"/>
        </w:rPr>
        <w:fldChar w:fldCharType="separate"/>
      </w:r>
      <w:r>
        <w:rPr>
          <w:rFonts w:hint="eastAsia" w:ascii="楷体" w:hAnsi="楷体" w:eastAsia="楷体" w:cs="楷体"/>
          <w:sz w:val="28"/>
          <w:szCs w:val="28"/>
          <w:highlight w:val="none"/>
        </w:rPr>
        <w:t>（二）照片提交</w:t>
      </w:r>
      <w:r>
        <w:rPr>
          <w:rFonts w:ascii="楷体" w:hAnsi="楷体" w:eastAsia="楷体" w:cs="楷体"/>
          <w:sz w:val="28"/>
          <w:szCs w:val="28"/>
          <w:highlight w:val="none"/>
        </w:rPr>
        <w:tab/>
      </w:r>
      <w:r>
        <w:rPr>
          <w:rFonts w:ascii="楷体" w:hAnsi="楷体" w:eastAsia="楷体" w:cs="楷体"/>
          <w:sz w:val="28"/>
          <w:szCs w:val="28"/>
          <w:highlight w:val="none"/>
        </w:rPr>
        <w:fldChar w:fldCharType="begin"/>
      </w:r>
      <w:r>
        <w:rPr>
          <w:rFonts w:ascii="楷体" w:hAnsi="楷体" w:eastAsia="楷体" w:cs="楷体"/>
          <w:sz w:val="28"/>
          <w:szCs w:val="28"/>
          <w:highlight w:val="none"/>
        </w:rPr>
        <w:instrText xml:space="preserve"> PAGEREF _Toc8070 </w:instrText>
      </w:r>
      <w:r>
        <w:rPr>
          <w:rFonts w:ascii="楷体" w:hAnsi="楷体" w:eastAsia="楷体" w:cs="楷体"/>
          <w:sz w:val="28"/>
          <w:szCs w:val="28"/>
          <w:highlight w:val="none"/>
        </w:rPr>
        <w:fldChar w:fldCharType="separate"/>
      </w:r>
      <w:r>
        <w:rPr>
          <w:rFonts w:ascii="楷体" w:hAnsi="楷体" w:eastAsia="楷体" w:cs="楷体"/>
          <w:sz w:val="28"/>
          <w:szCs w:val="28"/>
          <w:highlight w:val="none"/>
        </w:rPr>
        <w:t>3</w:t>
      </w:r>
      <w:r>
        <w:rPr>
          <w:rFonts w:ascii="楷体" w:hAnsi="楷体" w:eastAsia="楷体" w:cs="楷体"/>
          <w:sz w:val="28"/>
          <w:szCs w:val="28"/>
          <w:highlight w:val="none"/>
        </w:rPr>
        <w:fldChar w:fldCharType="end"/>
      </w:r>
      <w:r>
        <w:rPr>
          <w:rFonts w:ascii="楷体" w:hAnsi="楷体" w:eastAsia="楷体" w:cs="楷体"/>
          <w:sz w:val="28"/>
          <w:szCs w:val="28"/>
          <w:highlight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highlight w:val="none"/>
        </w:rPr>
        <w:fldChar w:fldCharType="begin"/>
      </w:r>
      <w:r>
        <w:rPr>
          <w:highlight w:val="none"/>
        </w:rPr>
        <w:instrText xml:space="preserve"> HYPERLINK \l "_Toc21135" </w:instrText>
      </w:r>
      <w:r>
        <w:rPr>
          <w:highlight w:val="none"/>
        </w:rPr>
        <w:fldChar w:fldCharType="separate"/>
      </w:r>
      <w:r>
        <w:rPr>
          <w:rFonts w:hint="eastAsia" w:ascii="楷体" w:hAnsi="楷体" w:eastAsia="楷体" w:cs="楷体"/>
          <w:sz w:val="28"/>
          <w:szCs w:val="28"/>
          <w:highlight w:val="none"/>
        </w:rPr>
        <w:t>（三）回避情形</w:t>
      </w:r>
      <w:r>
        <w:rPr>
          <w:rFonts w:ascii="楷体" w:hAnsi="楷体" w:eastAsia="楷体" w:cs="楷体"/>
          <w:sz w:val="28"/>
          <w:szCs w:val="28"/>
          <w:highlight w:val="none"/>
        </w:rPr>
        <w:tab/>
      </w:r>
      <w:r>
        <w:rPr>
          <w:rFonts w:ascii="楷体" w:hAnsi="楷体" w:eastAsia="楷体" w:cs="楷体"/>
          <w:sz w:val="28"/>
          <w:szCs w:val="28"/>
          <w:highlight w:val="none"/>
        </w:rPr>
        <w:fldChar w:fldCharType="begin"/>
      </w:r>
      <w:r>
        <w:rPr>
          <w:rFonts w:ascii="楷体" w:hAnsi="楷体" w:eastAsia="楷体" w:cs="楷体"/>
          <w:sz w:val="28"/>
          <w:szCs w:val="28"/>
          <w:highlight w:val="none"/>
        </w:rPr>
        <w:instrText xml:space="preserve"> PAGEREF _Toc21135 </w:instrText>
      </w:r>
      <w:r>
        <w:rPr>
          <w:rFonts w:ascii="楷体" w:hAnsi="楷体" w:eastAsia="楷体" w:cs="楷体"/>
          <w:sz w:val="28"/>
          <w:szCs w:val="28"/>
          <w:highlight w:val="none"/>
        </w:rPr>
        <w:fldChar w:fldCharType="separate"/>
      </w:r>
      <w:r>
        <w:rPr>
          <w:rFonts w:ascii="楷体" w:hAnsi="楷体" w:eastAsia="楷体" w:cs="楷体"/>
          <w:sz w:val="28"/>
          <w:szCs w:val="28"/>
          <w:highlight w:val="none"/>
        </w:rPr>
        <w:t>3</w:t>
      </w:r>
      <w:r>
        <w:rPr>
          <w:rFonts w:ascii="楷体" w:hAnsi="楷体" w:eastAsia="楷体" w:cs="楷体"/>
          <w:sz w:val="28"/>
          <w:szCs w:val="28"/>
          <w:highlight w:val="none"/>
        </w:rPr>
        <w:fldChar w:fldCharType="end"/>
      </w:r>
      <w:r>
        <w:rPr>
          <w:rFonts w:ascii="楷体" w:hAnsi="楷体" w:eastAsia="楷体" w:cs="楷体"/>
          <w:sz w:val="28"/>
          <w:szCs w:val="28"/>
          <w:highlight w:val="none"/>
        </w:rPr>
        <w:fldChar w:fldCharType="end"/>
      </w:r>
    </w:p>
    <w:p>
      <w:pPr>
        <w:pStyle w:val="17"/>
        <w:tabs>
          <w:tab w:val="right" w:leader="dot" w:pos="8306"/>
        </w:tabs>
        <w:spacing w:line="420" w:lineRule="exact"/>
        <w:ind w:left="420"/>
        <w:rPr>
          <w:rFonts w:ascii="黑体" w:hAnsi="黑体" w:eastAsia="黑体" w:cs="黑体"/>
          <w:sz w:val="28"/>
          <w:szCs w:val="28"/>
          <w:highlight w:val="none"/>
        </w:rPr>
      </w:pPr>
      <w:r>
        <w:rPr>
          <w:highlight w:val="none"/>
        </w:rPr>
        <w:fldChar w:fldCharType="begin"/>
      </w:r>
      <w:r>
        <w:rPr>
          <w:highlight w:val="none"/>
        </w:rPr>
        <w:instrText xml:space="preserve"> HYPERLINK \l "_Toc17065" </w:instrText>
      </w:r>
      <w:r>
        <w:rPr>
          <w:highlight w:val="none"/>
        </w:rPr>
        <w:fldChar w:fldCharType="separate"/>
      </w:r>
      <w:r>
        <w:rPr>
          <w:rFonts w:hint="eastAsia" w:ascii="楷体" w:hAnsi="楷体" w:eastAsia="楷体" w:cs="楷体"/>
          <w:sz w:val="28"/>
          <w:szCs w:val="28"/>
          <w:highlight w:val="none"/>
        </w:rPr>
        <w:t>（四）开考比例</w:t>
      </w:r>
      <w:r>
        <w:rPr>
          <w:rFonts w:ascii="楷体" w:hAnsi="楷体" w:eastAsia="楷体" w:cs="楷体"/>
          <w:sz w:val="28"/>
          <w:szCs w:val="28"/>
          <w:highlight w:val="none"/>
        </w:rPr>
        <w:tab/>
      </w:r>
      <w:r>
        <w:rPr>
          <w:rFonts w:ascii="楷体" w:hAnsi="楷体" w:eastAsia="楷体" w:cs="楷体"/>
          <w:sz w:val="28"/>
          <w:szCs w:val="28"/>
          <w:highlight w:val="none"/>
        </w:rPr>
        <w:fldChar w:fldCharType="begin"/>
      </w:r>
      <w:r>
        <w:rPr>
          <w:rFonts w:ascii="楷体" w:hAnsi="楷体" w:eastAsia="楷体" w:cs="楷体"/>
          <w:sz w:val="28"/>
          <w:szCs w:val="28"/>
          <w:highlight w:val="none"/>
        </w:rPr>
        <w:instrText xml:space="preserve"> PAGEREF _Toc17065 </w:instrText>
      </w:r>
      <w:r>
        <w:rPr>
          <w:rFonts w:ascii="楷体" w:hAnsi="楷体" w:eastAsia="楷体" w:cs="楷体"/>
          <w:sz w:val="28"/>
          <w:szCs w:val="28"/>
          <w:highlight w:val="none"/>
        </w:rPr>
        <w:fldChar w:fldCharType="separate"/>
      </w:r>
      <w:r>
        <w:rPr>
          <w:rFonts w:ascii="楷体" w:hAnsi="楷体" w:eastAsia="楷体" w:cs="楷体"/>
          <w:sz w:val="28"/>
          <w:szCs w:val="28"/>
          <w:highlight w:val="none"/>
        </w:rPr>
        <w:t>5</w:t>
      </w:r>
      <w:r>
        <w:rPr>
          <w:rFonts w:ascii="楷体" w:hAnsi="楷体" w:eastAsia="楷体" w:cs="楷体"/>
          <w:sz w:val="28"/>
          <w:szCs w:val="28"/>
          <w:highlight w:val="none"/>
        </w:rPr>
        <w:fldChar w:fldCharType="end"/>
      </w:r>
      <w:r>
        <w:rPr>
          <w:rFonts w:ascii="楷体" w:hAnsi="楷体" w:eastAsia="楷体" w:cs="楷体"/>
          <w:sz w:val="28"/>
          <w:szCs w:val="28"/>
          <w:highlight w:val="none"/>
        </w:rPr>
        <w:fldChar w:fldCharType="end"/>
      </w:r>
    </w:p>
    <w:p>
      <w:pPr>
        <w:pStyle w:val="16"/>
        <w:tabs>
          <w:tab w:val="right" w:leader="dot" w:pos="8306"/>
        </w:tabs>
        <w:spacing w:line="420" w:lineRule="exact"/>
        <w:rPr>
          <w:rFonts w:ascii="黑体" w:hAnsi="黑体" w:eastAsia="黑体" w:cs="黑体"/>
          <w:sz w:val="28"/>
          <w:szCs w:val="28"/>
          <w:highlight w:val="none"/>
        </w:rPr>
      </w:pPr>
      <w:r>
        <w:rPr>
          <w:highlight w:val="none"/>
        </w:rPr>
        <w:fldChar w:fldCharType="begin"/>
      </w:r>
      <w:r>
        <w:rPr>
          <w:highlight w:val="none"/>
        </w:rPr>
        <w:instrText xml:space="preserve"> HYPERLINK \l "_Toc17965" </w:instrText>
      </w:r>
      <w:r>
        <w:rPr>
          <w:highlight w:val="none"/>
        </w:rPr>
        <w:fldChar w:fldCharType="separate"/>
      </w:r>
      <w:r>
        <w:rPr>
          <w:rFonts w:hint="eastAsia" w:ascii="黑体" w:hAnsi="黑体" w:eastAsia="黑体" w:cs="黑体"/>
          <w:sz w:val="28"/>
          <w:szCs w:val="28"/>
          <w:highlight w:val="none"/>
        </w:rPr>
        <w:t>四、资格复核</w:t>
      </w:r>
      <w:r>
        <w:rPr>
          <w:rFonts w:ascii="黑体" w:hAnsi="黑体" w:eastAsia="黑体" w:cs="黑体"/>
          <w:sz w:val="28"/>
          <w:szCs w:val="28"/>
          <w:highlight w:val="none"/>
        </w:rPr>
        <w:tab/>
      </w:r>
      <w:r>
        <w:rPr>
          <w:rFonts w:ascii="黑体" w:hAnsi="黑体" w:eastAsia="黑体" w:cs="黑体"/>
          <w:sz w:val="28"/>
          <w:szCs w:val="28"/>
          <w:highlight w:val="none"/>
        </w:rPr>
        <w:fldChar w:fldCharType="begin"/>
      </w:r>
      <w:r>
        <w:rPr>
          <w:rFonts w:ascii="黑体" w:hAnsi="黑体" w:eastAsia="黑体" w:cs="黑体"/>
          <w:sz w:val="28"/>
          <w:szCs w:val="28"/>
          <w:highlight w:val="none"/>
        </w:rPr>
        <w:instrText xml:space="preserve"> PAGEREF _Toc17965 </w:instrText>
      </w:r>
      <w:r>
        <w:rPr>
          <w:rFonts w:ascii="黑体" w:hAnsi="黑体" w:eastAsia="黑体" w:cs="黑体"/>
          <w:sz w:val="28"/>
          <w:szCs w:val="28"/>
          <w:highlight w:val="none"/>
        </w:rPr>
        <w:fldChar w:fldCharType="separate"/>
      </w:r>
      <w:r>
        <w:rPr>
          <w:rFonts w:ascii="黑体" w:hAnsi="黑体" w:eastAsia="黑体" w:cs="黑体"/>
          <w:sz w:val="28"/>
          <w:szCs w:val="28"/>
          <w:highlight w:val="none"/>
        </w:rPr>
        <w:t>5</w:t>
      </w:r>
      <w:r>
        <w:rPr>
          <w:rFonts w:ascii="黑体" w:hAnsi="黑体" w:eastAsia="黑体" w:cs="黑体"/>
          <w:sz w:val="28"/>
          <w:szCs w:val="28"/>
          <w:highlight w:val="none"/>
        </w:rPr>
        <w:fldChar w:fldCharType="end"/>
      </w:r>
      <w:r>
        <w:rPr>
          <w:rFonts w:ascii="黑体" w:hAnsi="黑体" w:eastAsia="黑体" w:cs="黑体"/>
          <w:sz w:val="28"/>
          <w:szCs w:val="28"/>
          <w:highlight w:val="none"/>
        </w:rPr>
        <w:fldChar w:fldCharType="end"/>
      </w:r>
    </w:p>
    <w:p>
      <w:pPr>
        <w:pStyle w:val="16"/>
        <w:tabs>
          <w:tab w:val="right" w:leader="dot" w:pos="8306"/>
        </w:tabs>
        <w:spacing w:line="420" w:lineRule="exact"/>
        <w:rPr>
          <w:rFonts w:ascii="黑体" w:hAnsi="黑体" w:eastAsia="黑体" w:cs="黑体"/>
          <w:sz w:val="28"/>
          <w:szCs w:val="28"/>
          <w:highlight w:val="none"/>
        </w:rPr>
      </w:pPr>
      <w:r>
        <w:rPr>
          <w:highlight w:val="none"/>
        </w:rPr>
        <w:fldChar w:fldCharType="begin"/>
      </w:r>
      <w:r>
        <w:rPr>
          <w:highlight w:val="none"/>
        </w:rPr>
        <w:instrText xml:space="preserve"> HYPERLINK \l "_Toc12766" </w:instrText>
      </w:r>
      <w:r>
        <w:rPr>
          <w:highlight w:val="none"/>
        </w:rPr>
        <w:fldChar w:fldCharType="separate"/>
      </w:r>
      <w:r>
        <w:rPr>
          <w:rFonts w:hint="eastAsia" w:ascii="黑体" w:hAnsi="黑体" w:eastAsia="黑体" w:cs="黑体"/>
          <w:sz w:val="28"/>
          <w:szCs w:val="28"/>
          <w:highlight w:val="none"/>
        </w:rPr>
        <w:t>五、年龄、资格（历）等的计算办法</w:t>
      </w:r>
      <w:r>
        <w:rPr>
          <w:rFonts w:ascii="黑体" w:hAnsi="黑体" w:eastAsia="黑体" w:cs="黑体"/>
          <w:sz w:val="28"/>
          <w:szCs w:val="28"/>
          <w:highlight w:val="none"/>
        </w:rPr>
        <w:tab/>
      </w:r>
      <w:r>
        <w:rPr>
          <w:rFonts w:ascii="黑体" w:hAnsi="黑体" w:eastAsia="黑体" w:cs="黑体"/>
          <w:sz w:val="28"/>
          <w:szCs w:val="28"/>
          <w:highlight w:val="none"/>
        </w:rPr>
        <w:fldChar w:fldCharType="begin"/>
      </w:r>
      <w:r>
        <w:rPr>
          <w:rFonts w:ascii="黑体" w:hAnsi="黑体" w:eastAsia="黑体" w:cs="黑体"/>
          <w:sz w:val="28"/>
          <w:szCs w:val="28"/>
          <w:highlight w:val="none"/>
        </w:rPr>
        <w:instrText xml:space="preserve"> PAGEREF _Toc12766 </w:instrText>
      </w:r>
      <w:r>
        <w:rPr>
          <w:rFonts w:ascii="黑体" w:hAnsi="黑体" w:eastAsia="黑体" w:cs="黑体"/>
          <w:sz w:val="28"/>
          <w:szCs w:val="28"/>
          <w:highlight w:val="none"/>
        </w:rPr>
        <w:fldChar w:fldCharType="separate"/>
      </w:r>
      <w:r>
        <w:rPr>
          <w:rFonts w:ascii="黑体" w:hAnsi="黑体" w:eastAsia="黑体" w:cs="黑体"/>
          <w:sz w:val="28"/>
          <w:szCs w:val="28"/>
          <w:highlight w:val="none"/>
        </w:rPr>
        <w:t>6</w:t>
      </w:r>
      <w:r>
        <w:rPr>
          <w:rFonts w:ascii="黑体" w:hAnsi="黑体" w:eastAsia="黑体" w:cs="黑体"/>
          <w:sz w:val="28"/>
          <w:szCs w:val="28"/>
          <w:highlight w:val="none"/>
        </w:rPr>
        <w:fldChar w:fldCharType="end"/>
      </w:r>
      <w:r>
        <w:rPr>
          <w:rFonts w:ascii="黑体" w:hAnsi="黑体" w:eastAsia="黑体" w:cs="黑体"/>
          <w:sz w:val="28"/>
          <w:szCs w:val="28"/>
          <w:highlight w:val="none"/>
        </w:rPr>
        <w:fldChar w:fldCharType="end"/>
      </w:r>
    </w:p>
    <w:p>
      <w:pPr>
        <w:pStyle w:val="16"/>
        <w:tabs>
          <w:tab w:val="right" w:leader="dot" w:pos="8306"/>
        </w:tabs>
        <w:spacing w:line="420" w:lineRule="exact"/>
        <w:rPr>
          <w:rFonts w:ascii="黑体" w:hAnsi="黑体" w:eastAsia="黑体" w:cs="黑体"/>
          <w:sz w:val="28"/>
          <w:szCs w:val="28"/>
          <w:highlight w:val="none"/>
        </w:rPr>
      </w:pPr>
      <w:r>
        <w:rPr>
          <w:highlight w:val="none"/>
        </w:rPr>
        <w:fldChar w:fldCharType="begin"/>
      </w:r>
      <w:r>
        <w:rPr>
          <w:highlight w:val="none"/>
        </w:rPr>
        <w:instrText xml:space="preserve"> HYPERLINK \l "_Toc30463" </w:instrText>
      </w:r>
      <w:r>
        <w:rPr>
          <w:highlight w:val="none"/>
        </w:rPr>
        <w:fldChar w:fldCharType="separate"/>
      </w:r>
      <w:r>
        <w:rPr>
          <w:rFonts w:hint="eastAsia" w:ascii="黑体" w:hAnsi="黑体" w:eastAsia="黑体" w:cs="黑体"/>
          <w:sz w:val="28"/>
          <w:szCs w:val="28"/>
          <w:highlight w:val="none"/>
        </w:rPr>
        <w:t>六、学历（位）认定</w:t>
      </w:r>
      <w:r>
        <w:rPr>
          <w:rFonts w:ascii="黑体" w:hAnsi="黑体" w:eastAsia="黑体" w:cs="黑体"/>
          <w:sz w:val="28"/>
          <w:szCs w:val="28"/>
          <w:highlight w:val="none"/>
        </w:rPr>
        <w:tab/>
      </w:r>
      <w:r>
        <w:rPr>
          <w:rFonts w:hint="eastAsia" w:ascii="黑体" w:hAnsi="黑体" w:eastAsia="黑体" w:cs="黑体"/>
          <w:sz w:val="28"/>
          <w:szCs w:val="28"/>
          <w:highlight w:val="none"/>
          <w:lang w:val="en-US" w:eastAsia="zh-CN"/>
        </w:rPr>
        <w:t>7</w:t>
      </w:r>
      <w:r>
        <w:rPr>
          <w:rFonts w:ascii="黑体" w:hAnsi="黑体" w:eastAsia="黑体" w:cs="黑体"/>
          <w:sz w:val="28"/>
          <w:szCs w:val="28"/>
          <w:highlight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highlight w:val="none"/>
        </w:rPr>
        <w:fldChar w:fldCharType="begin"/>
      </w:r>
      <w:r>
        <w:rPr>
          <w:highlight w:val="none"/>
        </w:rPr>
        <w:instrText xml:space="preserve"> HYPERLINK \l "_Toc3626" </w:instrText>
      </w:r>
      <w:r>
        <w:rPr>
          <w:highlight w:val="none"/>
        </w:rPr>
        <w:fldChar w:fldCharType="separate"/>
      </w:r>
      <w:r>
        <w:rPr>
          <w:rFonts w:hint="eastAsia" w:ascii="楷体" w:hAnsi="楷体" w:eastAsia="楷体" w:cs="楷体"/>
          <w:sz w:val="28"/>
          <w:szCs w:val="28"/>
          <w:highlight w:val="none"/>
        </w:rPr>
        <w:t>（一）全日制普通教育学历（位）</w:t>
      </w:r>
      <w:r>
        <w:rPr>
          <w:rFonts w:ascii="楷体" w:hAnsi="楷体" w:eastAsia="楷体" w:cs="楷体"/>
          <w:sz w:val="28"/>
          <w:szCs w:val="28"/>
          <w:highlight w:val="none"/>
        </w:rPr>
        <w:tab/>
      </w:r>
      <w:r>
        <w:rPr>
          <w:rFonts w:hint="eastAsia" w:ascii="楷体" w:hAnsi="楷体" w:eastAsia="楷体" w:cs="楷体"/>
          <w:sz w:val="28"/>
          <w:szCs w:val="28"/>
          <w:highlight w:val="none"/>
          <w:lang w:val="en-US" w:eastAsia="zh-CN"/>
        </w:rPr>
        <w:t>7</w:t>
      </w:r>
      <w:r>
        <w:rPr>
          <w:rFonts w:ascii="楷体" w:hAnsi="楷体" w:eastAsia="楷体" w:cs="楷体"/>
          <w:sz w:val="28"/>
          <w:szCs w:val="28"/>
          <w:highlight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rFonts w:hint="eastAsia" w:ascii="楷体" w:hAnsi="楷体" w:eastAsia="楷体" w:cs="楷体"/>
          <w:color w:val="auto"/>
          <w:sz w:val="28"/>
          <w:szCs w:val="28"/>
          <w:highlight w:val="none"/>
          <w:u w:val="none"/>
        </w:rPr>
        <w:fldChar w:fldCharType="begin"/>
      </w:r>
      <w:r>
        <w:rPr>
          <w:rFonts w:hint="eastAsia" w:ascii="楷体" w:hAnsi="楷体" w:eastAsia="楷体" w:cs="楷体"/>
          <w:color w:val="auto"/>
          <w:sz w:val="28"/>
          <w:szCs w:val="28"/>
          <w:highlight w:val="none"/>
          <w:u w:val="none"/>
        </w:rPr>
        <w:instrText xml:space="preserve"> HYPERLINK \l "境外学历（位）" </w:instrText>
      </w:r>
      <w:r>
        <w:rPr>
          <w:rFonts w:hint="eastAsia" w:ascii="楷体" w:hAnsi="楷体" w:eastAsia="楷体" w:cs="楷体"/>
          <w:color w:val="auto"/>
          <w:sz w:val="28"/>
          <w:szCs w:val="28"/>
          <w:highlight w:val="none"/>
          <w:u w:val="none"/>
        </w:rPr>
        <w:fldChar w:fldCharType="separate"/>
      </w:r>
      <w:r>
        <w:rPr>
          <w:rStyle w:val="9"/>
          <w:rFonts w:hint="eastAsia" w:ascii="楷体" w:hAnsi="楷体" w:eastAsia="楷体" w:cs="楷体"/>
          <w:sz w:val="28"/>
          <w:szCs w:val="28"/>
          <w:highlight w:val="none"/>
        </w:rPr>
        <w:t>（二）境外学历（位）</w:t>
      </w:r>
      <w:r>
        <w:rPr>
          <w:rStyle w:val="9"/>
          <w:rFonts w:ascii="楷体" w:hAnsi="楷体" w:eastAsia="楷体" w:cs="楷体"/>
          <w:sz w:val="28"/>
          <w:szCs w:val="28"/>
          <w:highlight w:val="none"/>
        </w:rPr>
        <w:tab/>
      </w:r>
      <w:r>
        <w:rPr>
          <w:rStyle w:val="9"/>
          <w:rFonts w:ascii="楷体" w:hAnsi="楷体" w:eastAsia="楷体" w:cs="楷体"/>
          <w:sz w:val="28"/>
          <w:szCs w:val="28"/>
          <w:highlight w:val="none"/>
        </w:rPr>
        <w:fldChar w:fldCharType="begin"/>
      </w:r>
      <w:r>
        <w:rPr>
          <w:rStyle w:val="9"/>
          <w:rFonts w:ascii="楷体" w:hAnsi="楷体" w:eastAsia="楷体" w:cs="楷体"/>
          <w:sz w:val="28"/>
          <w:szCs w:val="28"/>
          <w:highlight w:val="none"/>
        </w:rPr>
        <w:instrText xml:space="preserve"> PAGEREF _Toc22385 </w:instrText>
      </w:r>
      <w:r>
        <w:rPr>
          <w:rStyle w:val="9"/>
          <w:rFonts w:ascii="楷体" w:hAnsi="楷体" w:eastAsia="楷体" w:cs="楷体"/>
          <w:sz w:val="28"/>
          <w:szCs w:val="28"/>
          <w:highlight w:val="none"/>
        </w:rPr>
        <w:fldChar w:fldCharType="separate"/>
      </w:r>
      <w:r>
        <w:rPr>
          <w:rStyle w:val="9"/>
          <w:rFonts w:ascii="楷体" w:hAnsi="楷体" w:eastAsia="楷体" w:cs="楷体"/>
          <w:sz w:val="28"/>
          <w:szCs w:val="28"/>
          <w:highlight w:val="none"/>
        </w:rPr>
        <w:t>7</w:t>
      </w:r>
      <w:r>
        <w:rPr>
          <w:rStyle w:val="9"/>
          <w:rFonts w:ascii="楷体" w:hAnsi="楷体" w:eastAsia="楷体" w:cs="楷体"/>
          <w:sz w:val="28"/>
          <w:szCs w:val="28"/>
          <w:highlight w:val="none"/>
        </w:rPr>
        <w:fldChar w:fldCharType="end"/>
      </w:r>
      <w:r>
        <w:rPr>
          <w:rFonts w:hint="eastAsia" w:ascii="楷体" w:hAnsi="楷体" w:eastAsia="楷体" w:cs="楷体"/>
          <w:color w:val="auto"/>
          <w:sz w:val="28"/>
          <w:szCs w:val="28"/>
          <w:highlight w:val="none"/>
          <w:u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highlight w:val="none"/>
        </w:rPr>
        <w:fldChar w:fldCharType="begin"/>
      </w:r>
      <w:r>
        <w:rPr>
          <w:highlight w:val="none"/>
        </w:rPr>
        <w:instrText xml:space="preserve"> HYPERLINK \l "_Toc18423" </w:instrText>
      </w:r>
      <w:r>
        <w:rPr>
          <w:highlight w:val="none"/>
        </w:rPr>
        <w:fldChar w:fldCharType="separate"/>
      </w:r>
      <w:r>
        <w:rPr>
          <w:rFonts w:hint="eastAsia" w:ascii="楷体" w:hAnsi="楷体" w:eastAsia="楷体" w:cs="楷体"/>
          <w:sz w:val="28"/>
          <w:szCs w:val="28"/>
          <w:highlight w:val="none"/>
        </w:rPr>
        <w:t>（三）福建省“双学位”“双专业”教育</w:t>
      </w:r>
      <w:r>
        <w:rPr>
          <w:rFonts w:ascii="楷体" w:hAnsi="楷体" w:eastAsia="楷体" w:cs="楷体"/>
          <w:sz w:val="28"/>
          <w:szCs w:val="28"/>
          <w:highlight w:val="none"/>
        </w:rPr>
        <w:tab/>
      </w:r>
      <w:r>
        <w:rPr>
          <w:rFonts w:ascii="楷体" w:hAnsi="楷体" w:eastAsia="楷体" w:cs="楷体"/>
          <w:sz w:val="28"/>
          <w:szCs w:val="28"/>
          <w:highlight w:val="none"/>
        </w:rPr>
        <w:fldChar w:fldCharType="begin"/>
      </w:r>
      <w:r>
        <w:rPr>
          <w:rFonts w:ascii="楷体" w:hAnsi="楷体" w:eastAsia="楷体" w:cs="楷体"/>
          <w:sz w:val="28"/>
          <w:szCs w:val="28"/>
          <w:highlight w:val="none"/>
        </w:rPr>
        <w:instrText xml:space="preserve"> PAGEREF _Toc18423 </w:instrText>
      </w:r>
      <w:r>
        <w:rPr>
          <w:rFonts w:ascii="楷体" w:hAnsi="楷体" w:eastAsia="楷体" w:cs="楷体"/>
          <w:sz w:val="28"/>
          <w:szCs w:val="28"/>
          <w:highlight w:val="none"/>
        </w:rPr>
        <w:fldChar w:fldCharType="separate"/>
      </w:r>
      <w:r>
        <w:rPr>
          <w:rFonts w:ascii="楷体" w:hAnsi="楷体" w:eastAsia="楷体" w:cs="楷体"/>
          <w:sz w:val="28"/>
          <w:szCs w:val="28"/>
          <w:highlight w:val="none"/>
        </w:rPr>
        <w:t>8</w:t>
      </w:r>
      <w:r>
        <w:rPr>
          <w:rFonts w:ascii="楷体" w:hAnsi="楷体" w:eastAsia="楷体" w:cs="楷体"/>
          <w:sz w:val="28"/>
          <w:szCs w:val="28"/>
          <w:highlight w:val="none"/>
        </w:rPr>
        <w:fldChar w:fldCharType="end"/>
      </w:r>
      <w:r>
        <w:rPr>
          <w:rFonts w:ascii="楷体" w:hAnsi="楷体" w:eastAsia="楷体" w:cs="楷体"/>
          <w:sz w:val="28"/>
          <w:szCs w:val="28"/>
          <w:highlight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highlight w:val="none"/>
        </w:rPr>
        <w:fldChar w:fldCharType="begin"/>
      </w:r>
      <w:r>
        <w:rPr>
          <w:highlight w:val="none"/>
        </w:rPr>
        <w:instrText xml:space="preserve"> HYPERLINK \l "_Toc26431" </w:instrText>
      </w:r>
      <w:r>
        <w:rPr>
          <w:highlight w:val="none"/>
        </w:rPr>
        <w:fldChar w:fldCharType="separate"/>
      </w:r>
      <w:r>
        <w:rPr>
          <w:rFonts w:hint="eastAsia" w:ascii="楷体" w:hAnsi="楷体" w:eastAsia="楷体" w:cs="楷体"/>
          <w:sz w:val="28"/>
          <w:szCs w:val="28"/>
          <w:highlight w:val="none"/>
        </w:rPr>
        <w:t>（四）辅修专业学历（位）</w:t>
      </w:r>
      <w:r>
        <w:rPr>
          <w:rFonts w:ascii="楷体" w:hAnsi="楷体" w:eastAsia="楷体" w:cs="楷体"/>
          <w:sz w:val="28"/>
          <w:szCs w:val="28"/>
          <w:highlight w:val="none"/>
        </w:rPr>
        <w:tab/>
      </w:r>
      <w:r>
        <w:rPr>
          <w:rFonts w:ascii="楷体" w:hAnsi="楷体" w:eastAsia="楷体" w:cs="楷体"/>
          <w:sz w:val="28"/>
          <w:szCs w:val="28"/>
          <w:highlight w:val="none"/>
        </w:rPr>
        <w:fldChar w:fldCharType="begin"/>
      </w:r>
      <w:r>
        <w:rPr>
          <w:rFonts w:ascii="楷体" w:hAnsi="楷体" w:eastAsia="楷体" w:cs="楷体"/>
          <w:sz w:val="28"/>
          <w:szCs w:val="28"/>
          <w:highlight w:val="none"/>
        </w:rPr>
        <w:instrText xml:space="preserve"> PAGEREF _Toc26431 </w:instrText>
      </w:r>
      <w:r>
        <w:rPr>
          <w:rFonts w:ascii="楷体" w:hAnsi="楷体" w:eastAsia="楷体" w:cs="楷体"/>
          <w:sz w:val="28"/>
          <w:szCs w:val="28"/>
          <w:highlight w:val="none"/>
        </w:rPr>
        <w:fldChar w:fldCharType="separate"/>
      </w:r>
      <w:r>
        <w:rPr>
          <w:rFonts w:ascii="楷体" w:hAnsi="楷体" w:eastAsia="楷体" w:cs="楷体"/>
          <w:sz w:val="28"/>
          <w:szCs w:val="28"/>
          <w:highlight w:val="none"/>
        </w:rPr>
        <w:t>8</w:t>
      </w:r>
      <w:r>
        <w:rPr>
          <w:rFonts w:ascii="楷体" w:hAnsi="楷体" w:eastAsia="楷体" w:cs="楷体"/>
          <w:sz w:val="28"/>
          <w:szCs w:val="28"/>
          <w:highlight w:val="none"/>
        </w:rPr>
        <w:fldChar w:fldCharType="end"/>
      </w:r>
      <w:r>
        <w:rPr>
          <w:rFonts w:ascii="楷体" w:hAnsi="楷体" w:eastAsia="楷体" w:cs="楷体"/>
          <w:sz w:val="28"/>
          <w:szCs w:val="28"/>
          <w:highlight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highlight w:val="none"/>
        </w:rPr>
        <w:fldChar w:fldCharType="begin"/>
      </w:r>
      <w:r>
        <w:rPr>
          <w:highlight w:val="none"/>
        </w:rPr>
        <w:instrText xml:space="preserve"> HYPERLINK \l "_Toc29962" </w:instrText>
      </w:r>
      <w:r>
        <w:rPr>
          <w:highlight w:val="none"/>
        </w:rPr>
        <w:fldChar w:fldCharType="separate"/>
      </w:r>
      <w:r>
        <w:rPr>
          <w:rFonts w:hint="eastAsia" w:ascii="楷体" w:hAnsi="楷体" w:eastAsia="楷体" w:cs="楷体"/>
          <w:sz w:val="28"/>
          <w:szCs w:val="28"/>
          <w:highlight w:val="none"/>
        </w:rPr>
        <w:t>（五）其他学历（位）</w:t>
      </w:r>
      <w:r>
        <w:rPr>
          <w:rFonts w:ascii="楷体" w:hAnsi="楷体" w:eastAsia="楷体" w:cs="楷体"/>
          <w:sz w:val="28"/>
          <w:szCs w:val="28"/>
          <w:highlight w:val="none"/>
        </w:rPr>
        <w:tab/>
      </w:r>
      <w:r>
        <w:rPr>
          <w:rFonts w:hint="eastAsia" w:ascii="楷体" w:hAnsi="楷体" w:eastAsia="楷体" w:cs="楷体"/>
          <w:sz w:val="28"/>
          <w:szCs w:val="28"/>
          <w:highlight w:val="none"/>
          <w:lang w:val="en-US" w:eastAsia="zh-CN"/>
        </w:rPr>
        <w:t>9</w:t>
      </w:r>
      <w:r>
        <w:rPr>
          <w:rFonts w:ascii="楷体" w:hAnsi="楷体" w:eastAsia="楷体" w:cs="楷体"/>
          <w:sz w:val="28"/>
          <w:szCs w:val="28"/>
          <w:highlight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highlight w:val="none"/>
        </w:rPr>
        <w:fldChar w:fldCharType="begin"/>
      </w:r>
      <w:r>
        <w:rPr>
          <w:highlight w:val="none"/>
        </w:rPr>
        <w:instrText xml:space="preserve"> HYPERLINK \l "_Toc3634" </w:instrText>
      </w:r>
      <w:r>
        <w:rPr>
          <w:highlight w:val="none"/>
        </w:rPr>
        <w:fldChar w:fldCharType="separate"/>
      </w:r>
      <w:r>
        <w:rPr>
          <w:rFonts w:hint="eastAsia" w:ascii="楷体" w:hAnsi="楷体" w:eastAsia="楷体" w:cs="楷体"/>
          <w:sz w:val="28"/>
          <w:szCs w:val="28"/>
          <w:highlight w:val="none"/>
        </w:rPr>
        <w:t>（六）提醒事项</w:t>
      </w:r>
      <w:r>
        <w:rPr>
          <w:rFonts w:ascii="楷体" w:hAnsi="楷体" w:eastAsia="楷体" w:cs="楷体"/>
          <w:sz w:val="28"/>
          <w:szCs w:val="28"/>
          <w:highlight w:val="none"/>
        </w:rPr>
        <w:tab/>
      </w:r>
      <w:r>
        <w:rPr>
          <w:rFonts w:ascii="楷体" w:hAnsi="楷体" w:eastAsia="楷体" w:cs="楷体"/>
          <w:sz w:val="28"/>
          <w:szCs w:val="28"/>
          <w:highlight w:val="none"/>
        </w:rPr>
        <w:fldChar w:fldCharType="begin"/>
      </w:r>
      <w:r>
        <w:rPr>
          <w:rFonts w:ascii="楷体" w:hAnsi="楷体" w:eastAsia="楷体" w:cs="楷体"/>
          <w:sz w:val="28"/>
          <w:szCs w:val="28"/>
          <w:highlight w:val="none"/>
        </w:rPr>
        <w:instrText xml:space="preserve"> PAGEREF _Toc3634 </w:instrText>
      </w:r>
      <w:r>
        <w:rPr>
          <w:rFonts w:ascii="楷体" w:hAnsi="楷体" w:eastAsia="楷体" w:cs="楷体"/>
          <w:sz w:val="28"/>
          <w:szCs w:val="28"/>
          <w:highlight w:val="none"/>
        </w:rPr>
        <w:fldChar w:fldCharType="separate"/>
      </w:r>
      <w:r>
        <w:rPr>
          <w:rFonts w:ascii="楷体" w:hAnsi="楷体" w:eastAsia="楷体" w:cs="楷体"/>
          <w:sz w:val="28"/>
          <w:szCs w:val="28"/>
          <w:highlight w:val="none"/>
        </w:rPr>
        <w:t>9</w:t>
      </w:r>
      <w:r>
        <w:rPr>
          <w:rFonts w:ascii="楷体" w:hAnsi="楷体" w:eastAsia="楷体" w:cs="楷体"/>
          <w:sz w:val="28"/>
          <w:szCs w:val="28"/>
          <w:highlight w:val="none"/>
        </w:rPr>
        <w:fldChar w:fldCharType="end"/>
      </w:r>
      <w:r>
        <w:rPr>
          <w:rFonts w:ascii="楷体" w:hAnsi="楷体" w:eastAsia="楷体" w:cs="楷体"/>
          <w:sz w:val="28"/>
          <w:szCs w:val="28"/>
          <w:highlight w:val="none"/>
        </w:rPr>
        <w:fldChar w:fldCharType="end"/>
      </w:r>
    </w:p>
    <w:p>
      <w:pPr>
        <w:pStyle w:val="16"/>
        <w:tabs>
          <w:tab w:val="right" w:leader="dot" w:pos="8306"/>
        </w:tabs>
        <w:spacing w:line="420" w:lineRule="exact"/>
        <w:rPr>
          <w:rFonts w:ascii="黑体" w:hAnsi="黑体" w:eastAsia="黑体" w:cs="黑体"/>
          <w:sz w:val="28"/>
          <w:szCs w:val="28"/>
          <w:highlight w:val="none"/>
        </w:rPr>
      </w:pPr>
      <w:r>
        <w:rPr>
          <w:highlight w:val="none"/>
        </w:rPr>
        <w:fldChar w:fldCharType="begin"/>
      </w:r>
      <w:r>
        <w:rPr>
          <w:highlight w:val="none"/>
        </w:rPr>
        <w:instrText xml:space="preserve"> HYPERLINK \l "_Toc10962" </w:instrText>
      </w:r>
      <w:r>
        <w:rPr>
          <w:highlight w:val="none"/>
        </w:rPr>
        <w:fldChar w:fldCharType="separate"/>
      </w:r>
      <w:r>
        <w:rPr>
          <w:rFonts w:hint="eastAsia" w:ascii="黑体" w:hAnsi="黑体" w:eastAsia="黑体" w:cs="黑体"/>
          <w:sz w:val="28"/>
          <w:szCs w:val="28"/>
          <w:highlight w:val="none"/>
        </w:rPr>
        <w:t>七、专业认定</w:t>
      </w:r>
      <w:r>
        <w:rPr>
          <w:rFonts w:ascii="黑体" w:hAnsi="黑体" w:eastAsia="黑体" w:cs="黑体"/>
          <w:sz w:val="28"/>
          <w:szCs w:val="28"/>
          <w:highlight w:val="none"/>
        </w:rPr>
        <w:tab/>
      </w:r>
      <w:r>
        <w:rPr>
          <w:rFonts w:ascii="黑体" w:hAnsi="黑体" w:eastAsia="黑体" w:cs="黑体"/>
          <w:sz w:val="28"/>
          <w:szCs w:val="28"/>
          <w:highlight w:val="none"/>
        </w:rPr>
        <w:fldChar w:fldCharType="begin"/>
      </w:r>
      <w:r>
        <w:rPr>
          <w:rFonts w:ascii="黑体" w:hAnsi="黑体" w:eastAsia="黑体" w:cs="黑体"/>
          <w:sz w:val="28"/>
          <w:szCs w:val="28"/>
          <w:highlight w:val="none"/>
        </w:rPr>
        <w:instrText xml:space="preserve"> PAGEREF _Toc10962 </w:instrText>
      </w:r>
      <w:r>
        <w:rPr>
          <w:rFonts w:ascii="黑体" w:hAnsi="黑体" w:eastAsia="黑体" w:cs="黑体"/>
          <w:sz w:val="28"/>
          <w:szCs w:val="28"/>
          <w:highlight w:val="none"/>
        </w:rPr>
        <w:fldChar w:fldCharType="separate"/>
      </w:r>
      <w:r>
        <w:rPr>
          <w:rFonts w:ascii="黑体" w:hAnsi="黑体" w:eastAsia="黑体" w:cs="黑体"/>
          <w:sz w:val="28"/>
          <w:szCs w:val="28"/>
          <w:highlight w:val="none"/>
        </w:rPr>
        <w:t>9</w:t>
      </w:r>
      <w:r>
        <w:rPr>
          <w:rFonts w:ascii="黑体" w:hAnsi="黑体" w:eastAsia="黑体" w:cs="黑体"/>
          <w:sz w:val="28"/>
          <w:szCs w:val="28"/>
          <w:highlight w:val="none"/>
        </w:rPr>
        <w:fldChar w:fldCharType="end"/>
      </w:r>
      <w:r>
        <w:rPr>
          <w:rFonts w:ascii="黑体" w:hAnsi="黑体" w:eastAsia="黑体" w:cs="黑体"/>
          <w:sz w:val="28"/>
          <w:szCs w:val="28"/>
          <w:highlight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highlight w:val="none"/>
        </w:rPr>
        <w:fldChar w:fldCharType="begin"/>
      </w:r>
      <w:r>
        <w:rPr>
          <w:highlight w:val="none"/>
        </w:rPr>
        <w:instrText xml:space="preserve"> HYPERLINK \l "_Toc19867" </w:instrText>
      </w:r>
      <w:r>
        <w:rPr>
          <w:highlight w:val="none"/>
        </w:rPr>
        <w:fldChar w:fldCharType="separate"/>
      </w:r>
      <w:r>
        <w:rPr>
          <w:rFonts w:hint="eastAsia" w:ascii="楷体" w:hAnsi="楷体" w:eastAsia="楷体" w:cs="楷体"/>
          <w:sz w:val="28"/>
          <w:szCs w:val="28"/>
          <w:highlight w:val="none"/>
        </w:rPr>
        <w:t>（一）填报专业名称</w:t>
      </w:r>
      <w:r>
        <w:rPr>
          <w:rFonts w:ascii="楷体" w:hAnsi="楷体" w:eastAsia="楷体" w:cs="楷体"/>
          <w:sz w:val="28"/>
          <w:szCs w:val="28"/>
          <w:highlight w:val="none"/>
        </w:rPr>
        <w:tab/>
      </w:r>
      <w:r>
        <w:rPr>
          <w:rFonts w:ascii="楷体" w:hAnsi="楷体" w:eastAsia="楷体" w:cs="楷体"/>
          <w:sz w:val="28"/>
          <w:szCs w:val="28"/>
          <w:highlight w:val="none"/>
        </w:rPr>
        <w:fldChar w:fldCharType="begin"/>
      </w:r>
      <w:r>
        <w:rPr>
          <w:rFonts w:ascii="楷体" w:hAnsi="楷体" w:eastAsia="楷体" w:cs="楷体"/>
          <w:sz w:val="28"/>
          <w:szCs w:val="28"/>
          <w:highlight w:val="none"/>
        </w:rPr>
        <w:instrText xml:space="preserve"> PAGEREF _Toc19867 </w:instrText>
      </w:r>
      <w:r>
        <w:rPr>
          <w:rFonts w:ascii="楷体" w:hAnsi="楷体" w:eastAsia="楷体" w:cs="楷体"/>
          <w:sz w:val="28"/>
          <w:szCs w:val="28"/>
          <w:highlight w:val="none"/>
        </w:rPr>
        <w:fldChar w:fldCharType="separate"/>
      </w:r>
      <w:r>
        <w:rPr>
          <w:rFonts w:ascii="楷体" w:hAnsi="楷体" w:eastAsia="楷体" w:cs="楷体"/>
          <w:sz w:val="28"/>
          <w:szCs w:val="28"/>
          <w:highlight w:val="none"/>
        </w:rPr>
        <w:t>9</w:t>
      </w:r>
      <w:r>
        <w:rPr>
          <w:rFonts w:ascii="楷体" w:hAnsi="楷体" w:eastAsia="楷体" w:cs="楷体"/>
          <w:sz w:val="28"/>
          <w:szCs w:val="28"/>
          <w:highlight w:val="none"/>
        </w:rPr>
        <w:fldChar w:fldCharType="end"/>
      </w:r>
      <w:r>
        <w:rPr>
          <w:rFonts w:ascii="楷体" w:hAnsi="楷体" w:eastAsia="楷体" w:cs="楷体"/>
          <w:sz w:val="28"/>
          <w:szCs w:val="28"/>
          <w:highlight w:val="none"/>
        </w:rPr>
        <w:fldChar w:fldCharType="end"/>
      </w:r>
    </w:p>
    <w:p>
      <w:pPr>
        <w:pStyle w:val="17"/>
        <w:tabs>
          <w:tab w:val="right" w:leader="dot" w:pos="8306"/>
        </w:tabs>
        <w:spacing w:line="420" w:lineRule="exact"/>
        <w:ind w:left="420"/>
        <w:rPr>
          <w:rFonts w:hint="eastAsia" w:ascii="楷体" w:hAnsi="楷体" w:eastAsia="楷体" w:cs="楷体"/>
          <w:sz w:val="28"/>
          <w:szCs w:val="28"/>
          <w:highlight w:val="none"/>
          <w:lang w:val="en-US" w:eastAsia="zh-CN"/>
        </w:rPr>
      </w:pPr>
      <w:r>
        <w:rPr>
          <w:rFonts w:hint="eastAsia" w:ascii="楷体" w:hAnsi="楷体" w:eastAsia="楷体" w:cs="楷体"/>
          <w:color w:val="auto"/>
          <w:sz w:val="28"/>
          <w:szCs w:val="28"/>
          <w:highlight w:val="none"/>
          <w:u w:val="none"/>
        </w:rPr>
        <w:fldChar w:fldCharType="begin"/>
      </w:r>
      <w:r>
        <w:rPr>
          <w:rFonts w:hint="eastAsia" w:ascii="楷体" w:hAnsi="楷体" w:eastAsia="楷体" w:cs="楷体"/>
          <w:color w:val="auto"/>
          <w:sz w:val="28"/>
          <w:szCs w:val="28"/>
          <w:highlight w:val="none"/>
          <w:u w:val="none"/>
        </w:rPr>
        <w:instrText xml:space="preserve"> HYPERLINK \l "专业与学历（位）的对应关系" </w:instrText>
      </w:r>
      <w:r>
        <w:rPr>
          <w:rFonts w:hint="eastAsia" w:ascii="楷体" w:hAnsi="楷体" w:eastAsia="楷体" w:cs="楷体"/>
          <w:color w:val="auto"/>
          <w:sz w:val="28"/>
          <w:szCs w:val="28"/>
          <w:highlight w:val="none"/>
          <w:u w:val="none"/>
        </w:rPr>
        <w:fldChar w:fldCharType="separate"/>
      </w:r>
      <w:r>
        <w:rPr>
          <w:rStyle w:val="9"/>
          <w:rFonts w:hint="eastAsia" w:ascii="楷体" w:hAnsi="楷体" w:eastAsia="楷体" w:cs="楷体"/>
          <w:sz w:val="28"/>
          <w:szCs w:val="28"/>
          <w:highlight w:val="none"/>
        </w:rPr>
        <w:t>（二）专业与学历（位）的对应关系</w:t>
      </w:r>
      <w:r>
        <w:rPr>
          <w:rStyle w:val="9"/>
          <w:rFonts w:ascii="楷体" w:hAnsi="楷体" w:eastAsia="楷体" w:cs="楷体"/>
          <w:sz w:val="28"/>
          <w:szCs w:val="28"/>
          <w:highlight w:val="none"/>
        </w:rPr>
        <w:tab/>
      </w:r>
      <w:r>
        <w:rPr>
          <w:rStyle w:val="9"/>
          <w:rFonts w:hint="eastAsia" w:ascii="楷体" w:hAnsi="楷体" w:eastAsia="楷体" w:cs="楷体"/>
          <w:sz w:val="28"/>
          <w:szCs w:val="28"/>
          <w:highlight w:val="none"/>
          <w:lang w:val="en-US" w:eastAsia="zh-CN"/>
        </w:rPr>
        <w:t>10</w:t>
      </w:r>
      <w:r>
        <w:rPr>
          <w:rFonts w:hint="eastAsia" w:ascii="楷体" w:hAnsi="楷体" w:eastAsia="楷体" w:cs="楷体"/>
          <w:color w:val="auto"/>
          <w:sz w:val="28"/>
          <w:szCs w:val="28"/>
          <w:highlight w:val="none"/>
          <w:u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rFonts w:hint="eastAsia" w:ascii="楷体" w:hAnsi="楷体" w:eastAsia="楷体" w:cs="楷体"/>
          <w:color w:val="auto"/>
          <w:sz w:val="28"/>
          <w:szCs w:val="28"/>
          <w:highlight w:val="none"/>
          <w:u w:val="none"/>
        </w:rPr>
        <w:fldChar w:fldCharType="begin"/>
      </w:r>
      <w:r>
        <w:rPr>
          <w:rFonts w:hint="eastAsia" w:ascii="楷体" w:hAnsi="楷体" w:eastAsia="楷体" w:cs="楷体"/>
          <w:color w:val="auto"/>
          <w:sz w:val="28"/>
          <w:szCs w:val="28"/>
          <w:highlight w:val="none"/>
          <w:u w:val="none"/>
        </w:rPr>
        <w:instrText xml:space="preserve"> HYPERLINK \l "专业资格的认定" </w:instrText>
      </w:r>
      <w:r>
        <w:rPr>
          <w:rFonts w:hint="eastAsia" w:ascii="楷体" w:hAnsi="楷体" w:eastAsia="楷体" w:cs="楷体"/>
          <w:color w:val="auto"/>
          <w:sz w:val="28"/>
          <w:szCs w:val="28"/>
          <w:highlight w:val="none"/>
          <w:u w:val="none"/>
        </w:rPr>
        <w:fldChar w:fldCharType="separate"/>
      </w:r>
      <w:r>
        <w:rPr>
          <w:rStyle w:val="9"/>
          <w:rFonts w:hint="eastAsia" w:ascii="楷体" w:hAnsi="楷体" w:eastAsia="楷体" w:cs="楷体"/>
          <w:sz w:val="28"/>
          <w:szCs w:val="28"/>
          <w:highlight w:val="none"/>
        </w:rPr>
        <w:t>（三）专业资格的认定</w:t>
      </w:r>
      <w:r>
        <w:rPr>
          <w:rStyle w:val="9"/>
          <w:rFonts w:ascii="楷体" w:hAnsi="楷体" w:eastAsia="楷体" w:cs="楷体"/>
          <w:sz w:val="28"/>
          <w:szCs w:val="28"/>
          <w:highlight w:val="none"/>
        </w:rPr>
        <w:tab/>
      </w:r>
      <w:r>
        <w:rPr>
          <w:rStyle w:val="9"/>
          <w:rFonts w:ascii="楷体" w:hAnsi="楷体" w:eastAsia="楷体" w:cs="楷体"/>
          <w:sz w:val="28"/>
          <w:szCs w:val="28"/>
          <w:highlight w:val="none"/>
        </w:rPr>
        <w:fldChar w:fldCharType="begin"/>
      </w:r>
      <w:r>
        <w:rPr>
          <w:rStyle w:val="9"/>
          <w:rFonts w:ascii="楷体" w:hAnsi="楷体" w:eastAsia="楷体" w:cs="楷体"/>
          <w:sz w:val="28"/>
          <w:szCs w:val="28"/>
          <w:highlight w:val="none"/>
        </w:rPr>
        <w:instrText xml:space="preserve"> PAGEREF _Toc1729 </w:instrText>
      </w:r>
      <w:r>
        <w:rPr>
          <w:rStyle w:val="9"/>
          <w:rFonts w:ascii="楷体" w:hAnsi="楷体" w:eastAsia="楷体" w:cs="楷体"/>
          <w:sz w:val="28"/>
          <w:szCs w:val="28"/>
          <w:highlight w:val="none"/>
        </w:rPr>
        <w:fldChar w:fldCharType="separate"/>
      </w:r>
      <w:r>
        <w:rPr>
          <w:rStyle w:val="9"/>
          <w:rFonts w:ascii="楷体" w:hAnsi="楷体" w:eastAsia="楷体" w:cs="楷体"/>
          <w:sz w:val="28"/>
          <w:szCs w:val="28"/>
          <w:highlight w:val="none"/>
        </w:rPr>
        <w:t>10</w:t>
      </w:r>
      <w:r>
        <w:rPr>
          <w:rStyle w:val="9"/>
          <w:rFonts w:ascii="楷体" w:hAnsi="楷体" w:eastAsia="楷体" w:cs="楷体"/>
          <w:sz w:val="28"/>
          <w:szCs w:val="28"/>
          <w:highlight w:val="none"/>
        </w:rPr>
        <w:fldChar w:fldCharType="end"/>
      </w:r>
      <w:r>
        <w:rPr>
          <w:rFonts w:hint="eastAsia" w:ascii="楷体" w:hAnsi="楷体" w:eastAsia="楷体" w:cs="楷体"/>
          <w:color w:val="auto"/>
          <w:sz w:val="28"/>
          <w:szCs w:val="28"/>
          <w:highlight w:val="none"/>
          <w:u w:val="none"/>
        </w:rPr>
        <w:fldChar w:fldCharType="end"/>
      </w:r>
    </w:p>
    <w:p>
      <w:pPr>
        <w:pStyle w:val="16"/>
        <w:tabs>
          <w:tab w:val="right" w:leader="dot" w:pos="8306"/>
        </w:tabs>
        <w:spacing w:line="420" w:lineRule="exact"/>
        <w:rPr>
          <w:rFonts w:ascii="黑体" w:hAnsi="黑体" w:eastAsia="黑体" w:cs="黑体"/>
          <w:sz w:val="28"/>
          <w:szCs w:val="28"/>
          <w:highlight w:val="none"/>
        </w:rPr>
      </w:pPr>
      <w:r>
        <w:rPr>
          <w:rFonts w:hint="eastAsia" w:ascii="黑体" w:hAnsi="黑体" w:eastAsia="黑体" w:cs="黑体"/>
          <w:color w:val="auto"/>
          <w:sz w:val="28"/>
          <w:szCs w:val="28"/>
          <w:highlight w:val="none"/>
          <w:u w:val="none"/>
        </w:rPr>
        <w:fldChar w:fldCharType="begin"/>
      </w:r>
      <w:r>
        <w:rPr>
          <w:rFonts w:hint="eastAsia" w:ascii="黑体" w:hAnsi="黑体" w:eastAsia="黑体" w:cs="黑体"/>
          <w:color w:val="auto"/>
          <w:sz w:val="28"/>
          <w:szCs w:val="28"/>
          <w:highlight w:val="none"/>
          <w:u w:val="none"/>
        </w:rPr>
        <w:instrText xml:space="preserve"> HYPERLINK \l "工作经历（验）" </w:instrText>
      </w:r>
      <w:r>
        <w:rPr>
          <w:rFonts w:hint="eastAsia" w:ascii="黑体" w:hAnsi="黑体" w:eastAsia="黑体" w:cs="黑体"/>
          <w:color w:val="auto"/>
          <w:sz w:val="28"/>
          <w:szCs w:val="28"/>
          <w:highlight w:val="none"/>
          <w:u w:val="none"/>
        </w:rPr>
        <w:fldChar w:fldCharType="separate"/>
      </w:r>
      <w:r>
        <w:rPr>
          <w:rStyle w:val="9"/>
          <w:rFonts w:hint="eastAsia" w:ascii="黑体" w:hAnsi="黑体" w:eastAsia="黑体" w:cs="黑体"/>
          <w:sz w:val="28"/>
          <w:szCs w:val="28"/>
          <w:highlight w:val="none"/>
        </w:rPr>
        <w:t>八、工作经历（验）</w:t>
      </w:r>
      <w:r>
        <w:rPr>
          <w:rStyle w:val="9"/>
          <w:rFonts w:ascii="黑体" w:hAnsi="黑体" w:eastAsia="黑体" w:cs="黑体"/>
          <w:sz w:val="28"/>
          <w:szCs w:val="28"/>
          <w:highlight w:val="none"/>
        </w:rPr>
        <w:tab/>
      </w:r>
      <w:r>
        <w:rPr>
          <w:rStyle w:val="9"/>
          <w:rFonts w:ascii="黑体" w:hAnsi="黑体" w:eastAsia="黑体" w:cs="黑体"/>
          <w:sz w:val="28"/>
          <w:szCs w:val="28"/>
          <w:highlight w:val="none"/>
        </w:rPr>
        <w:fldChar w:fldCharType="begin"/>
      </w:r>
      <w:r>
        <w:rPr>
          <w:rStyle w:val="9"/>
          <w:rFonts w:ascii="黑体" w:hAnsi="黑体" w:eastAsia="黑体" w:cs="黑体"/>
          <w:sz w:val="28"/>
          <w:szCs w:val="28"/>
          <w:highlight w:val="none"/>
        </w:rPr>
        <w:instrText xml:space="preserve"> PAGEREF _Toc13830 </w:instrText>
      </w:r>
      <w:r>
        <w:rPr>
          <w:rStyle w:val="9"/>
          <w:rFonts w:ascii="黑体" w:hAnsi="黑体" w:eastAsia="黑体" w:cs="黑体"/>
          <w:sz w:val="28"/>
          <w:szCs w:val="28"/>
          <w:highlight w:val="none"/>
        </w:rPr>
        <w:fldChar w:fldCharType="separate"/>
      </w:r>
      <w:r>
        <w:rPr>
          <w:rStyle w:val="9"/>
          <w:rFonts w:ascii="黑体" w:hAnsi="黑体" w:eastAsia="黑体" w:cs="黑体"/>
          <w:sz w:val="28"/>
          <w:szCs w:val="28"/>
          <w:highlight w:val="none"/>
        </w:rPr>
        <w:t>1</w:t>
      </w:r>
      <w:r>
        <w:rPr>
          <w:rStyle w:val="9"/>
          <w:rFonts w:hint="eastAsia" w:ascii="黑体" w:hAnsi="黑体" w:eastAsia="黑体" w:cs="黑体"/>
          <w:sz w:val="28"/>
          <w:szCs w:val="28"/>
          <w:highlight w:val="none"/>
          <w:lang w:val="en-US" w:eastAsia="zh-CN"/>
        </w:rPr>
        <w:t>1</w:t>
      </w:r>
      <w:r>
        <w:rPr>
          <w:rStyle w:val="9"/>
          <w:rFonts w:ascii="黑体" w:hAnsi="黑体" w:eastAsia="黑体" w:cs="黑体"/>
          <w:sz w:val="28"/>
          <w:szCs w:val="28"/>
          <w:highlight w:val="none"/>
        </w:rPr>
        <w:fldChar w:fldCharType="end"/>
      </w:r>
      <w:r>
        <w:rPr>
          <w:rFonts w:hint="eastAsia" w:ascii="黑体" w:hAnsi="黑体" w:eastAsia="黑体" w:cs="黑体"/>
          <w:color w:val="auto"/>
          <w:sz w:val="28"/>
          <w:szCs w:val="28"/>
          <w:highlight w:val="none"/>
          <w:u w:val="none"/>
        </w:rPr>
        <w:fldChar w:fldCharType="end"/>
      </w:r>
    </w:p>
    <w:p>
      <w:pPr>
        <w:pStyle w:val="16"/>
        <w:tabs>
          <w:tab w:val="right" w:leader="dot" w:pos="8306"/>
        </w:tabs>
        <w:spacing w:line="420" w:lineRule="exact"/>
        <w:rPr>
          <w:rFonts w:ascii="黑体" w:hAnsi="黑体" w:eastAsia="黑体" w:cs="黑体"/>
          <w:sz w:val="28"/>
          <w:szCs w:val="28"/>
          <w:highlight w:val="none"/>
        </w:rPr>
      </w:pPr>
      <w:r>
        <w:rPr>
          <w:highlight w:val="none"/>
        </w:rPr>
        <w:fldChar w:fldCharType="begin"/>
      </w:r>
      <w:r>
        <w:rPr>
          <w:highlight w:val="none"/>
        </w:rPr>
        <w:instrText xml:space="preserve"> HYPERLINK \l "_Toc17821" </w:instrText>
      </w:r>
      <w:r>
        <w:rPr>
          <w:highlight w:val="none"/>
        </w:rPr>
        <w:fldChar w:fldCharType="separate"/>
      </w:r>
      <w:r>
        <w:rPr>
          <w:rFonts w:hint="eastAsia" w:ascii="黑体" w:hAnsi="黑体" w:eastAsia="黑体" w:cs="黑体"/>
          <w:sz w:val="28"/>
          <w:szCs w:val="28"/>
          <w:highlight w:val="none"/>
        </w:rPr>
        <w:t>九、笔试加分</w:t>
      </w:r>
      <w:r>
        <w:rPr>
          <w:rFonts w:ascii="黑体" w:hAnsi="黑体" w:eastAsia="黑体" w:cs="黑体"/>
          <w:sz w:val="28"/>
          <w:szCs w:val="28"/>
          <w:highlight w:val="none"/>
        </w:rPr>
        <w:tab/>
      </w:r>
      <w:r>
        <w:rPr>
          <w:rFonts w:ascii="黑体" w:hAnsi="黑体" w:eastAsia="黑体" w:cs="黑体"/>
          <w:sz w:val="28"/>
          <w:szCs w:val="28"/>
          <w:highlight w:val="none"/>
        </w:rPr>
        <w:fldChar w:fldCharType="begin"/>
      </w:r>
      <w:r>
        <w:rPr>
          <w:rFonts w:ascii="黑体" w:hAnsi="黑体" w:eastAsia="黑体" w:cs="黑体"/>
          <w:sz w:val="28"/>
          <w:szCs w:val="28"/>
          <w:highlight w:val="none"/>
        </w:rPr>
        <w:instrText xml:space="preserve"> PAGEREF _Toc17821 </w:instrText>
      </w:r>
      <w:r>
        <w:rPr>
          <w:rFonts w:ascii="黑体" w:hAnsi="黑体" w:eastAsia="黑体" w:cs="黑体"/>
          <w:sz w:val="28"/>
          <w:szCs w:val="28"/>
          <w:highlight w:val="none"/>
        </w:rPr>
        <w:fldChar w:fldCharType="separate"/>
      </w:r>
      <w:r>
        <w:rPr>
          <w:rFonts w:ascii="黑体" w:hAnsi="黑体" w:eastAsia="黑体" w:cs="黑体"/>
          <w:sz w:val="28"/>
          <w:szCs w:val="28"/>
          <w:highlight w:val="none"/>
        </w:rPr>
        <w:t>11</w:t>
      </w:r>
      <w:r>
        <w:rPr>
          <w:rFonts w:ascii="黑体" w:hAnsi="黑体" w:eastAsia="黑体" w:cs="黑体"/>
          <w:sz w:val="28"/>
          <w:szCs w:val="28"/>
          <w:highlight w:val="none"/>
        </w:rPr>
        <w:fldChar w:fldCharType="end"/>
      </w:r>
      <w:r>
        <w:rPr>
          <w:rFonts w:ascii="黑体" w:hAnsi="黑体" w:eastAsia="黑体" w:cs="黑体"/>
          <w:sz w:val="28"/>
          <w:szCs w:val="28"/>
          <w:highlight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highlight w:val="none"/>
        </w:rPr>
        <w:fldChar w:fldCharType="begin"/>
      </w:r>
      <w:r>
        <w:rPr>
          <w:highlight w:val="none"/>
        </w:rPr>
        <w:instrText xml:space="preserve"> HYPERLINK \l "_Toc2775" </w:instrText>
      </w:r>
      <w:r>
        <w:rPr>
          <w:highlight w:val="none"/>
        </w:rPr>
        <w:fldChar w:fldCharType="separate"/>
      </w:r>
      <w:r>
        <w:rPr>
          <w:rFonts w:hint="eastAsia" w:ascii="楷体" w:hAnsi="楷体" w:eastAsia="楷体" w:cs="楷体"/>
          <w:sz w:val="28"/>
          <w:szCs w:val="28"/>
          <w:highlight w:val="none"/>
        </w:rPr>
        <w:t>（一）加分原则</w:t>
      </w:r>
      <w:r>
        <w:rPr>
          <w:rFonts w:ascii="楷体" w:hAnsi="楷体" w:eastAsia="楷体" w:cs="楷体"/>
          <w:sz w:val="28"/>
          <w:szCs w:val="28"/>
          <w:highlight w:val="none"/>
        </w:rPr>
        <w:tab/>
      </w:r>
      <w:r>
        <w:rPr>
          <w:rFonts w:ascii="楷体" w:hAnsi="楷体" w:eastAsia="楷体" w:cs="楷体"/>
          <w:sz w:val="28"/>
          <w:szCs w:val="28"/>
          <w:highlight w:val="none"/>
        </w:rPr>
        <w:fldChar w:fldCharType="begin"/>
      </w:r>
      <w:r>
        <w:rPr>
          <w:rFonts w:ascii="楷体" w:hAnsi="楷体" w:eastAsia="楷体" w:cs="楷体"/>
          <w:sz w:val="28"/>
          <w:szCs w:val="28"/>
          <w:highlight w:val="none"/>
        </w:rPr>
        <w:instrText xml:space="preserve"> PAGEREF _Toc2775 </w:instrText>
      </w:r>
      <w:r>
        <w:rPr>
          <w:rFonts w:ascii="楷体" w:hAnsi="楷体" w:eastAsia="楷体" w:cs="楷体"/>
          <w:sz w:val="28"/>
          <w:szCs w:val="28"/>
          <w:highlight w:val="none"/>
        </w:rPr>
        <w:fldChar w:fldCharType="separate"/>
      </w:r>
      <w:r>
        <w:rPr>
          <w:rFonts w:ascii="楷体" w:hAnsi="楷体" w:eastAsia="楷体" w:cs="楷体"/>
          <w:sz w:val="28"/>
          <w:szCs w:val="28"/>
          <w:highlight w:val="none"/>
        </w:rPr>
        <w:t>11</w:t>
      </w:r>
      <w:r>
        <w:rPr>
          <w:rFonts w:ascii="楷体" w:hAnsi="楷体" w:eastAsia="楷体" w:cs="楷体"/>
          <w:sz w:val="28"/>
          <w:szCs w:val="28"/>
          <w:highlight w:val="none"/>
        </w:rPr>
        <w:fldChar w:fldCharType="end"/>
      </w:r>
      <w:r>
        <w:rPr>
          <w:rFonts w:ascii="楷体" w:hAnsi="楷体" w:eastAsia="楷体" w:cs="楷体"/>
          <w:sz w:val="28"/>
          <w:szCs w:val="28"/>
          <w:highlight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highlight w:val="none"/>
        </w:rPr>
        <w:fldChar w:fldCharType="begin"/>
      </w:r>
      <w:r>
        <w:rPr>
          <w:highlight w:val="none"/>
        </w:rPr>
        <w:instrText xml:space="preserve"> HYPERLINK \l "_Toc15001" </w:instrText>
      </w:r>
      <w:r>
        <w:rPr>
          <w:highlight w:val="none"/>
        </w:rPr>
        <w:fldChar w:fldCharType="separate"/>
      </w:r>
      <w:r>
        <w:rPr>
          <w:rFonts w:hint="eastAsia" w:ascii="楷体" w:hAnsi="楷体" w:eastAsia="楷体" w:cs="楷体"/>
          <w:sz w:val="28"/>
          <w:szCs w:val="28"/>
          <w:highlight w:val="none"/>
        </w:rPr>
        <w:t>（二）加分政策</w:t>
      </w:r>
      <w:r>
        <w:rPr>
          <w:rFonts w:ascii="楷体" w:hAnsi="楷体" w:eastAsia="楷体" w:cs="楷体"/>
          <w:sz w:val="28"/>
          <w:szCs w:val="28"/>
          <w:highlight w:val="none"/>
        </w:rPr>
        <w:tab/>
      </w:r>
      <w:r>
        <w:rPr>
          <w:rFonts w:ascii="楷体" w:hAnsi="楷体" w:eastAsia="楷体" w:cs="楷体"/>
          <w:sz w:val="28"/>
          <w:szCs w:val="28"/>
          <w:highlight w:val="none"/>
        </w:rPr>
        <w:fldChar w:fldCharType="begin"/>
      </w:r>
      <w:r>
        <w:rPr>
          <w:rFonts w:ascii="楷体" w:hAnsi="楷体" w:eastAsia="楷体" w:cs="楷体"/>
          <w:sz w:val="28"/>
          <w:szCs w:val="28"/>
          <w:highlight w:val="none"/>
        </w:rPr>
        <w:instrText xml:space="preserve"> PAGEREF _Toc15001 </w:instrText>
      </w:r>
      <w:r>
        <w:rPr>
          <w:rFonts w:ascii="楷体" w:hAnsi="楷体" w:eastAsia="楷体" w:cs="楷体"/>
          <w:sz w:val="28"/>
          <w:szCs w:val="28"/>
          <w:highlight w:val="none"/>
        </w:rPr>
        <w:fldChar w:fldCharType="separate"/>
      </w:r>
      <w:r>
        <w:rPr>
          <w:rFonts w:ascii="楷体" w:hAnsi="楷体" w:eastAsia="楷体" w:cs="楷体"/>
          <w:sz w:val="28"/>
          <w:szCs w:val="28"/>
          <w:highlight w:val="none"/>
        </w:rPr>
        <w:t>1</w:t>
      </w:r>
      <w:r>
        <w:rPr>
          <w:rFonts w:hint="eastAsia" w:ascii="楷体" w:hAnsi="楷体" w:eastAsia="楷体" w:cs="楷体"/>
          <w:sz w:val="28"/>
          <w:szCs w:val="28"/>
          <w:highlight w:val="none"/>
          <w:lang w:val="en-US" w:eastAsia="zh-CN"/>
        </w:rPr>
        <w:t>2</w:t>
      </w:r>
      <w:r>
        <w:rPr>
          <w:rFonts w:ascii="楷体" w:hAnsi="楷体" w:eastAsia="楷体" w:cs="楷体"/>
          <w:sz w:val="28"/>
          <w:szCs w:val="28"/>
          <w:highlight w:val="none"/>
        </w:rPr>
        <w:fldChar w:fldCharType="end"/>
      </w:r>
      <w:r>
        <w:rPr>
          <w:rFonts w:ascii="楷体" w:hAnsi="楷体" w:eastAsia="楷体" w:cs="楷体"/>
          <w:sz w:val="28"/>
          <w:szCs w:val="28"/>
          <w:highlight w:val="none"/>
        </w:rPr>
        <w:fldChar w:fldCharType="end"/>
      </w:r>
    </w:p>
    <w:p>
      <w:pPr>
        <w:pStyle w:val="17"/>
        <w:tabs>
          <w:tab w:val="right" w:leader="dot" w:pos="8306"/>
        </w:tabs>
        <w:spacing w:line="420" w:lineRule="exact"/>
        <w:ind w:left="420"/>
        <w:rPr>
          <w:rFonts w:ascii="黑体" w:hAnsi="黑体" w:eastAsia="黑体" w:cs="黑体"/>
          <w:sz w:val="28"/>
          <w:szCs w:val="28"/>
          <w:highlight w:val="none"/>
        </w:rPr>
      </w:pPr>
      <w:r>
        <w:rPr>
          <w:highlight w:val="none"/>
        </w:rPr>
        <w:fldChar w:fldCharType="begin"/>
      </w:r>
      <w:r>
        <w:rPr>
          <w:highlight w:val="none"/>
        </w:rPr>
        <w:instrText xml:space="preserve"> HYPERLINK \l "_Toc23220" </w:instrText>
      </w:r>
      <w:r>
        <w:rPr>
          <w:highlight w:val="none"/>
        </w:rPr>
        <w:fldChar w:fldCharType="separate"/>
      </w:r>
      <w:r>
        <w:rPr>
          <w:rFonts w:hint="eastAsia" w:ascii="楷体" w:hAnsi="楷体" w:eastAsia="楷体" w:cs="楷体"/>
          <w:sz w:val="28"/>
          <w:szCs w:val="28"/>
          <w:highlight w:val="none"/>
        </w:rPr>
        <w:t>（三）加分证明</w:t>
      </w:r>
      <w:r>
        <w:rPr>
          <w:rFonts w:ascii="楷体" w:hAnsi="楷体" w:eastAsia="楷体" w:cs="楷体"/>
          <w:sz w:val="28"/>
          <w:szCs w:val="28"/>
          <w:highlight w:val="none"/>
        </w:rPr>
        <w:tab/>
      </w:r>
      <w:r>
        <w:rPr>
          <w:rFonts w:ascii="楷体" w:hAnsi="楷体" w:eastAsia="楷体" w:cs="楷体"/>
          <w:sz w:val="28"/>
          <w:szCs w:val="28"/>
          <w:highlight w:val="none"/>
        </w:rPr>
        <w:fldChar w:fldCharType="begin"/>
      </w:r>
      <w:r>
        <w:rPr>
          <w:rFonts w:ascii="楷体" w:hAnsi="楷体" w:eastAsia="楷体" w:cs="楷体"/>
          <w:sz w:val="28"/>
          <w:szCs w:val="28"/>
          <w:highlight w:val="none"/>
        </w:rPr>
        <w:instrText xml:space="preserve"> PAGEREF _Toc23220 </w:instrText>
      </w:r>
      <w:r>
        <w:rPr>
          <w:rFonts w:ascii="楷体" w:hAnsi="楷体" w:eastAsia="楷体" w:cs="楷体"/>
          <w:sz w:val="28"/>
          <w:szCs w:val="28"/>
          <w:highlight w:val="none"/>
        </w:rPr>
        <w:fldChar w:fldCharType="separate"/>
      </w:r>
      <w:r>
        <w:rPr>
          <w:rFonts w:ascii="楷体" w:hAnsi="楷体" w:eastAsia="楷体" w:cs="楷体"/>
          <w:sz w:val="28"/>
          <w:szCs w:val="28"/>
          <w:highlight w:val="none"/>
        </w:rPr>
        <w:t>13</w:t>
      </w:r>
      <w:r>
        <w:rPr>
          <w:rFonts w:ascii="楷体" w:hAnsi="楷体" w:eastAsia="楷体" w:cs="楷体"/>
          <w:sz w:val="28"/>
          <w:szCs w:val="28"/>
          <w:highlight w:val="none"/>
        </w:rPr>
        <w:fldChar w:fldCharType="end"/>
      </w:r>
      <w:r>
        <w:rPr>
          <w:rFonts w:ascii="楷体" w:hAnsi="楷体" w:eastAsia="楷体" w:cs="楷体"/>
          <w:sz w:val="28"/>
          <w:szCs w:val="28"/>
          <w:highlight w:val="none"/>
        </w:rPr>
        <w:fldChar w:fldCharType="end"/>
      </w:r>
    </w:p>
    <w:p>
      <w:pPr>
        <w:pStyle w:val="16"/>
        <w:tabs>
          <w:tab w:val="right" w:leader="dot" w:pos="8306"/>
        </w:tabs>
        <w:spacing w:line="420" w:lineRule="exact"/>
        <w:rPr>
          <w:rFonts w:ascii="黑体" w:hAnsi="黑体" w:eastAsia="黑体" w:cs="黑体"/>
          <w:sz w:val="28"/>
          <w:szCs w:val="28"/>
          <w:highlight w:val="none"/>
        </w:rPr>
      </w:pPr>
      <w:r>
        <w:rPr>
          <w:highlight w:val="none"/>
        </w:rPr>
        <w:fldChar w:fldCharType="begin"/>
      </w:r>
      <w:r>
        <w:rPr>
          <w:highlight w:val="none"/>
        </w:rPr>
        <w:instrText xml:space="preserve"> HYPERLINK \l "_Toc9008" </w:instrText>
      </w:r>
      <w:r>
        <w:rPr>
          <w:highlight w:val="none"/>
        </w:rPr>
        <w:fldChar w:fldCharType="separate"/>
      </w:r>
      <w:r>
        <w:rPr>
          <w:rFonts w:hint="eastAsia" w:ascii="黑体" w:hAnsi="黑体" w:eastAsia="黑体" w:cs="黑体"/>
          <w:sz w:val="28"/>
          <w:szCs w:val="28"/>
          <w:highlight w:val="none"/>
        </w:rPr>
        <w:t>十、体检</w:t>
      </w:r>
      <w:r>
        <w:rPr>
          <w:rFonts w:ascii="黑体" w:hAnsi="黑体" w:eastAsia="黑体" w:cs="黑体"/>
          <w:sz w:val="28"/>
          <w:szCs w:val="28"/>
          <w:highlight w:val="none"/>
        </w:rPr>
        <w:tab/>
      </w:r>
      <w:r>
        <w:rPr>
          <w:rFonts w:ascii="黑体" w:hAnsi="黑体" w:eastAsia="黑体" w:cs="黑体"/>
          <w:sz w:val="28"/>
          <w:szCs w:val="28"/>
          <w:highlight w:val="none"/>
        </w:rPr>
        <w:fldChar w:fldCharType="begin"/>
      </w:r>
      <w:r>
        <w:rPr>
          <w:rFonts w:ascii="黑体" w:hAnsi="黑体" w:eastAsia="黑体" w:cs="黑体"/>
          <w:sz w:val="28"/>
          <w:szCs w:val="28"/>
          <w:highlight w:val="none"/>
        </w:rPr>
        <w:instrText xml:space="preserve"> PAGEREF _Toc9008 </w:instrText>
      </w:r>
      <w:r>
        <w:rPr>
          <w:rFonts w:ascii="黑体" w:hAnsi="黑体" w:eastAsia="黑体" w:cs="黑体"/>
          <w:sz w:val="28"/>
          <w:szCs w:val="28"/>
          <w:highlight w:val="none"/>
        </w:rPr>
        <w:fldChar w:fldCharType="separate"/>
      </w:r>
      <w:r>
        <w:rPr>
          <w:rFonts w:ascii="黑体" w:hAnsi="黑体" w:eastAsia="黑体" w:cs="黑体"/>
          <w:sz w:val="28"/>
          <w:szCs w:val="28"/>
          <w:highlight w:val="none"/>
        </w:rPr>
        <w:t>14</w:t>
      </w:r>
      <w:r>
        <w:rPr>
          <w:rFonts w:ascii="黑体" w:hAnsi="黑体" w:eastAsia="黑体" w:cs="黑体"/>
          <w:sz w:val="28"/>
          <w:szCs w:val="28"/>
          <w:highlight w:val="none"/>
        </w:rPr>
        <w:fldChar w:fldCharType="end"/>
      </w:r>
      <w:r>
        <w:rPr>
          <w:rFonts w:ascii="黑体" w:hAnsi="黑体" w:eastAsia="黑体" w:cs="黑体"/>
          <w:sz w:val="28"/>
          <w:szCs w:val="28"/>
          <w:highlight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highlight w:val="none"/>
        </w:rPr>
        <w:fldChar w:fldCharType="begin"/>
      </w:r>
      <w:r>
        <w:rPr>
          <w:highlight w:val="none"/>
        </w:rPr>
        <w:instrText xml:space="preserve"> HYPERLINK \l "_Toc27268" </w:instrText>
      </w:r>
      <w:r>
        <w:rPr>
          <w:highlight w:val="none"/>
        </w:rPr>
        <w:fldChar w:fldCharType="separate"/>
      </w:r>
      <w:r>
        <w:rPr>
          <w:rFonts w:hint="eastAsia" w:ascii="楷体" w:hAnsi="楷体" w:eastAsia="楷体" w:cs="楷体"/>
          <w:sz w:val="28"/>
          <w:szCs w:val="28"/>
          <w:highlight w:val="none"/>
        </w:rPr>
        <w:t>（一）确定体检人选</w:t>
      </w:r>
      <w:r>
        <w:rPr>
          <w:rFonts w:ascii="楷体" w:hAnsi="楷体" w:eastAsia="楷体" w:cs="楷体"/>
          <w:sz w:val="28"/>
          <w:szCs w:val="28"/>
          <w:highlight w:val="none"/>
        </w:rPr>
        <w:tab/>
      </w:r>
      <w:r>
        <w:rPr>
          <w:rFonts w:ascii="楷体" w:hAnsi="楷体" w:eastAsia="楷体" w:cs="楷体"/>
          <w:sz w:val="28"/>
          <w:szCs w:val="28"/>
          <w:highlight w:val="none"/>
        </w:rPr>
        <w:fldChar w:fldCharType="begin"/>
      </w:r>
      <w:r>
        <w:rPr>
          <w:rFonts w:ascii="楷体" w:hAnsi="楷体" w:eastAsia="楷体" w:cs="楷体"/>
          <w:sz w:val="28"/>
          <w:szCs w:val="28"/>
          <w:highlight w:val="none"/>
        </w:rPr>
        <w:instrText xml:space="preserve"> PAGEREF _Toc27268 </w:instrText>
      </w:r>
      <w:r>
        <w:rPr>
          <w:rFonts w:ascii="楷体" w:hAnsi="楷体" w:eastAsia="楷体" w:cs="楷体"/>
          <w:sz w:val="28"/>
          <w:szCs w:val="28"/>
          <w:highlight w:val="none"/>
        </w:rPr>
        <w:fldChar w:fldCharType="separate"/>
      </w:r>
      <w:r>
        <w:rPr>
          <w:rFonts w:ascii="楷体" w:hAnsi="楷体" w:eastAsia="楷体" w:cs="楷体"/>
          <w:sz w:val="28"/>
          <w:szCs w:val="28"/>
          <w:highlight w:val="none"/>
        </w:rPr>
        <w:t>14</w:t>
      </w:r>
      <w:r>
        <w:rPr>
          <w:rFonts w:ascii="楷体" w:hAnsi="楷体" w:eastAsia="楷体" w:cs="楷体"/>
          <w:sz w:val="28"/>
          <w:szCs w:val="28"/>
          <w:highlight w:val="none"/>
        </w:rPr>
        <w:fldChar w:fldCharType="end"/>
      </w:r>
      <w:r>
        <w:rPr>
          <w:rFonts w:ascii="楷体" w:hAnsi="楷体" w:eastAsia="楷体" w:cs="楷体"/>
          <w:sz w:val="28"/>
          <w:szCs w:val="28"/>
          <w:highlight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highlight w:val="none"/>
        </w:rPr>
        <w:fldChar w:fldCharType="begin"/>
      </w:r>
      <w:r>
        <w:rPr>
          <w:highlight w:val="none"/>
        </w:rPr>
        <w:instrText xml:space="preserve"> HYPERLINK \l "_Toc8351" </w:instrText>
      </w:r>
      <w:r>
        <w:rPr>
          <w:highlight w:val="none"/>
        </w:rPr>
        <w:fldChar w:fldCharType="separate"/>
      </w:r>
      <w:r>
        <w:rPr>
          <w:rFonts w:hint="eastAsia" w:ascii="楷体" w:hAnsi="楷体" w:eastAsia="楷体" w:cs="楷体"/>
          <w:sz w:val="28"/>
          <w:szCs w:val="28"/>
          <w:highlight w:val="none"/>
        </w:rPr>
        <w:t>（二）组织体检</w:t>
      </w:r>
      <w:r>
        <w:rPr>
          <w:rFonts w:ascii="楷体" w:hAnsi="楷体" w:eastAsia="楷体" w:cs="楷体"/>
          <w:sz w:val="28"/>
          <w:szCs w:val="28"/>
          <w:highlight w:val="none"/>
        </w:rPr>
        <w:tab/>
      </w:r>
      <w:r>
        <w:rPr>
          <w:rFonts w:ascii="楷体" w:hAnsi="楷体" w:eastAsia="楷体" w:cs="楷体"/>
          <w:sz w:val="28"/>
          <w:szCs w:val="28"/>
          <w:highlight w:val="none"/>
        </w:rPr>
        <w:fldChar w:fldCharType="begin"/>
      </w:r>
      <w:r>
        <w:rPr>
          <w:rFonts w:ascii="楷体" w:hAnsi="楷体" w:eastAsia="楷体" w:cs="楷体"/>
          <w:sz w:val="28"/>
          <w:szCs w:val="28"/>
          <w:highlight w:val="none"/>
        </w:rPr>
        <w:instrText xml:space="preserve"> PAGEREF _Toc8351 </w:instrText>
      </w:r>
      <w:r>
        <w:rPr>
          <w:rFonts w:ascii="楷体" w:hAnsi="楷体" w:eastAsia="楷体" w:cs="楷体"/>
          <w:sz w:val="28"/>
          <w:szCs w:val="28"/>
          <w:highlight w:val="none"/>
        </w:rPr>
        <w:fldChar w:fldCharType="separate"/>
      </w:r>
      <w:r>
        <w:rPr>
          <w:rFonts w:ascii="楷体" w:hAnsi="楷体" w:eastAsia="楷体" w:cs="楷体"/>
          <w:sz w:val="28"/>
          <w:szCs w:val="28"/>
          <w:highlight w:val="none"/>
        </w:rPr>
        <w:t>1</w:t>
      </w:r>
      <w:r>
        <w:rPr>
          <w:rFonts w:hint="eastAsia" w:ascii="楷体" w:hAnsi="楷体" w:eastAsia="楷体" w:cs="楷体"/>
          <w:sz w:val="28"/>
          <w:szCs w:val="28"/>
          <w:highlight w:val="none"/>
          <w:lang w:val="en-US" w:eastAsia="zh-CN"/>
        </w:rPr>
        <w:t>5</w:t>
      </w:r>
      <w:r>
        <w:rPr>
          <w:rFonts w:ascii="楷体" w:hAnsi="楷体" w:eastAsia="楷体" w:cs="楷体"/>
          <w:sz w:val="28"/>
          <w:szCs w:val="28"/>
          <w:highlight w:val="none"/>
        </w:rPr>
        <w:fldChar w:fldCharType="end"/>
      </w:r>
      <w:r>
        <w:rPr>
          <w:rFonts w:ascii="楷体" w:hAnsi="楷体" w:eastAsia="楷体" w:cs="楷体"/>
          <w:sz w:val="28"/>
          <w:szCs w:val="28"/>
          <w:highlight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highlight w:val="none"/>
        </w:rPr>
        <w:fldChar w:fldCharType="begin"/>
      </w:r>
      <w:r>
        <w:rPr>
          <w:highlight w:val="none"/>
        </w:rPr>
        <w:instrText xml:space="preserve"> HYPERLINK \l "_Toc20156" </w:instrText>
      </w:r>
      <w:r>
        <w:rPr>
          <w:highlight w:val="none"/>
        </w:rPr>
        <w:fldChar w:fldCharType="separate"/>
      </w:r>
      <w:r>
        <w:rPr>
          <w:rFonts w:hint="eastAsia" w:ascii="楷体" w:hAnsi="楷体" w:eastAsia="楷体" w:cs="楷体"/>
          <w:sz w:val="28"/>
          <w:szCs w:val="28"/>
          <w:highlight w:val="none"/>
        </w:rPr>
        <w:t>（三）体检依据</w:t>
      </w:r>
      <w:r>
        <w:rPr>
          <w:rFonts w:ascii="楷体" w:hAnsi="楷体" w:eastAsia="楷体" w:cs="楷体"/>
          <w:sz w:val="28"/>
          <w:szCs w:val="28"/>
          <w:highlight w:val="none"/>
        </w:rPr>
        <w:tab/>
      </w:r>
      <w:r>
        <w:rPr>
          <w:rFonts w:ascii="楷体" w:hAnsi="楷体" w:eastAsia="楷体" w:cs="楷体"/>
          <w:sz w:val="28"/>
          <w:szCs w:val="28"/>
          <w:highlight w:val="none"/>
        </w:rPr>
        <w:fldChar w:fldCharType="begin"/>
      </w:r>
      <w:r>
        <w:rPr>
          <w:rFonts w:ascii="楷体" w:hAnsi="楷体" w:eastAsia="楷体" w:cs="楷体"/>
          <w:sz w:val="28"/>
          <w:szCs w:val="28"/>
          <w:highlight w:val="none"/>
        </w:rPr>
        <w:instrText xml:space="preserve"> PAGEREF _Toc20156 </w:instrText>
      </w:r>
      <w:r>
        <w:rPr>
          <w:rFonts w:ascii="楷体" w:hAnsi="楷体" w:eastAsia="楷体" w:cs="楷体"/>
          <w:sz w:val="28"/>
          <w:szCs w:val="28"/>
          <w:highlight w:val="none"/>
        </w:rPr>
        <w:fldChar w:fldCharType="separate"/>
      </w:r>
      <w:r>
        <w:rPr>
          <w:rFonts w:ascii="楷体" w:hAnsi="楷体" w:eastAsia="楷体" w:cs="楷体"/>
          <w:sz w:val="28"/>
          <w:szCs w:val="28"/>
          <w:highlight w:val="none"/>
        </w:rPr>
        <w:t>1</w:t>
      </w:r>
      <w:r>
        <w:rPr>
          <w:rFonts w:ascii="楷体" w:hAnsi="楷体" w:eastAsia="楷体" w:cs="楷体"/>
          <w:sz w:val="28"/>
          <w:szCs w:val="28"/>
          <w:highlight w:val="none"/>
        </w:rPr>
        <w:fldChar w:fldCharType="end"/>
      </w:r>
      <w:r>
        <w:rPr>
          <w:rFonts w:ascii="楷体" w:hAnsi="楷体" w:eastAsia="楷体" w:cs="楷体"/>
          <w:sz w:val="28"/>
          <w:szCs w:val="28"/>
          <w:highlight w:val="none"/>
        </w:rPr>
        <w:fldChar w:fldCharType="end"/>
      </w:r>
      <w:r>
        <w:rPr>
          <w:rFonts w:ascii="楷体" w:hAnsi="楷体" w:eastAsia="楷体" w:cs="楷体"/>
          <w:sz w:val="28"/>
          <w:szCs w:val="28"/>
          <w:highlight w:val="none"/>
        </w:rPr>
        <w:t>5</w:t>
      </w:r>
    </w:p>
    <w:p>
      <w:pPr>
        <w:pStyle w:val="17"/>
        <w:tabs>
          <w:tab w:val="right" w:leader="dot" w:pos="8306"/>
        </w:tabs>
        <w:spacing w:line="420" w:lineRule="exact"/>
        <w:ind w:left="420"/>
        <w:rPr>
          <w:rFonts w:ascii="楷体" w:hAnsi="楷体" w:eastAsia="楷体" w:cs="楷体"/>
          <w:sz w:val="28"/>
          <w:szCs w:val="28"/>
          <w:highlight w:val="none"/>
        </w:rPr>
      </w:pPr>
      <w:r>
        <w:rPr>
          <w:highlight w:val="none"/>
        </w:rPr>
        <w:fldChar w:fldCharType="begin"/>
      </w:r>
      <w:r>
        <w:rPr>
          <w:highlight w:val="none"/>
        </w:rPr>
        <w:instrText xml:space="preserve"> HYPERLINK \l "_Toc13573" </w:instrText>
      </w:r>
      <w:r>
        <w:rPr>
          <w:highlight w:val="none"/>
        </w:rPr>
        <w:fldChar w:fldCharType="separate"/>
      </w:r>
      <w:r>
        <w:rPr>
          <w:rFonts w:hint="eastAsia" w:ascii="楷体" w:hAnsi="楷体" w:eastAsia="楷体" w:cs="楷体"/>
          <w:sz w:val="28"/>
          <w:szCs w:val="28"/>
          <w:highlight w:val="none"/>
        </w:rPr>
        <w:t>（四）体检复检</w:t>
      </w:r>
      <w:r>
        <w:rPr>
          <w:rFonts w:ascii="楷体" w:hAnsi="楷体" w:eastAsia="楷体" w:cs="楷体"/>
          <w:sz w:val="28"/>
          <w:szCs w:val="28"/>
          <w:highlight w:val="none"/>
        </w:rPr>
        <w:tab/>
      </w:r>
      <w:r>
        <w:rPr>
          <w:rFonts w:ascii="楷体" w:hAnsi="楷体" w:eastAsia="楷体" w:cs="楷体"/>
          <w:sz w:val="28"/>
          <w:szCs w:val="28"/>
          <w:highlight w:val="none"/>
        </w:rPr>
        <w:fldChar w:fldCharType="begin"/>
      </w:r>
      <w:r>
        <w:rPr>
          <w:rFonts w:ascii="楷体" w:hAnsi="楷体" w:eastAsia="楷体" w:cs="楷体"/>
          <w:sz w:val="28"/>
          <w:szCs w:val="28"/>
          <w:highlight w:val="none"/>
        </w:rPr>
        <w:instrText xml:space="preserve"> PAGEREF _Toc13573 </w:instrText>
      </w:r>
      <w:r>
        <w:rPr>
          <w:rFonts w:ascii="楷体" w:hAnsi="楷体" w:eastAsia="楷体" w:cs="楷体"/>
          <w:sz w:val="28"/>
          <w:szCs w:val="28"/>
          <w:highlight w:val="none"/>
        </w:rPr>
        <w:fldChar w:fldCharType="separate"/>
      </w:r>
      <w:r>
        <w:rPr>
          <w:rFonts w:ascii="楷体" w:hAnsi="楷体" w:eastAsia="楷体" w:cs="楷体"/>
          <w:sz w:val="28"/>
          <w:szCs w:val="28"/>
          <w:highlight w:val="none"/>
        </w:rPr>
        <w:t>15</w:t>
      </w:r>
      <w:r>
        <w:rPr>
          <w:rFonts w:ascii="楷体" w:hAnsi="楷体" w:eastAsia="楷体" w:cs="楷体"/>
          <w:sz w:val="28"/>
          <w:szCs w:val="28"/>
          <w:highlight w:val="none"/>
        </w:rPr>
        <w:fldChar w:fldCharType="end"/>
      </w:r>
      <w:r>
        <w:rPr>
          <w:rFonts w:ascii="楷体" w:hAnsi="楷体" w:eastAsia="楷体" w:cs="楷体"/>
          <w:sz w:val="28"/>
          <w:szCs w:val="28"/>
          <w:highlight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highlight w:val="none"/>
        </w:rPr>
        <w:fldChar w:fldCharType="begin"/>
      </w:r>
      <w:r>
        <w:rPr>
          <w:highlight w:val="none"/>
        </w:rPr>
        <w:instrText xml:space="preserve"> HYPERLINK \l "_Toc19064" </w:instrText>
      </w:r>
      <w:r>
        <w:rPr>
          <w:highlight w:val="none"/>
        </w:rPr>
        <w:fldChar w:fldCharType="separate"/>
      </w:r>
      <w:r>
        <w:rPr>
          <w:rFonts w:hint="eastAsia" w:ascii="楷体" w:hAnsi="楷体" w:eastAsia="楷体" w:cs="楷体"/>
          <w:sz w:val="28"/>
          <w:szCs w:val="28"/>
          <w:highlight w:val="none"/>
        </w:rPr>
        <w:t>（五）可延迟体检的情形</w:t>
      </w:r>
      <w:r>
        <w:rPr>
          <w:rFonts w:ascii="楷体" w:hAnsi="楷体" w:eastAsia="楷体" w:cs="楷体"/>
          <w:sz w:val="28"/>
          <w:szCs w:val="28"/>
          <w:highlight w:val="none"/>
        </w:rPr>
        <w:tab/>
      </w:r>
      <w:r>
        <w:rPr>
          <w:rFonts w:ascii="楷体" w:hAnsi="楷体" w:eastAsia="楷体" w:cs="楷体"/>
          <w:sz w:val="28"/>
          <w:szCs w:val="28"/>
          <w:highlight w:val="none"/>
        </w:rPr>
        <w:fldChar w:fldCharType="begin"/>
      </w:r>
      <w:r>
        <w:rPr>
          <w:rFonts w:ascii="楷体" w:hAnsi="楷体" w:eastAsia="楷体" w:cs="楷体"/>
          <w:sz w:val="28"/>
          <w:szCs w:val="28"/>
          <w:highlight w:val="none"/>
        </w:rPr>
        <w:instrText xml:space="preserve"> PAGEREF _Toc19064 </w:instrText>
      </w:r>
      <w:r>
        <w:rPr>
          <w:rFonts w:ascii="楷体" w:hAnsi="楷体" w:eastAsia="楷体" w:cs="楷体"/>
          <w:sz w:val="28"/>
          <w:szCs w:val="28"/>
          <w:highlight w:val="none"/>
        </w:rPr>
        <w:fldChar w:fldCharType="separate"/>
      </w:r>
      <w:r>
        <w:rPr>
          <w:rFonts w:ascii="楷体" w:hAnsi="楷体" w:eastAsia="楷体" w:cs="楷体"/>
          <w:sz w:val="28"/>
          <w:szCs w:val="28"/>
          <w:highlight w:val="none"/>
        </w:rPr>
        <w:t>16</w:t>
      </w:r>
      <w:r>
        <w:rPr>
          <w:rFonts w:ascii="楷体" w:hAnsi="楷体" w:eastAsia="楷体" w:cs="楷体"/>
          <w:sz w:val="28"/>
          <w:szCs w:val="28"/>
          <w:highlight w:val="none"/>
        </w:rPr>
        <w:fldChar w:fldCharType="end"/>
      </w:r>
      <w:r>
        <w:rPr>
          <w:rFonts w:ascii="楷体" w:hAnsi="楷体" w:eastAsia="楷体" w:cs="楷体"/>
          <w:sz w:val="28"/>
          <w:szCs w:val="28"/>
          <w:highlight w:val="none"/>
        </w:rPr>
        <w:fldChar w:fldCharType="end"/>
      </w:r>
    </w:p>
    <w:p>
      <w:pPr>
        <w:pStyle w:val="16"/>
        <w:tabs>
          <w:tab w:val="right" w:leader="dot" w:pos="8306"/>
        </w:tabs>
        <w:spacing w:line="420" w:lineRule="exact"/>
        <w:rPr>
          <w:rFonts w:ascii="黑体" w:hAnsi="黑体" w:eastAsia="黑体" w:cs="黑体"/>
          <w:sz w:val="28"/>
          <w:szCs w:val="28"/>
          <w:highlight w:val="none"/>
        </w:rPr>
      </w:pPr>
      <w:r>
        <w:rPr>
          <w:highlight w:val="none"/>
        </w:rPr>
        <w:fldChar w:fldCharType="begin"/>
      </w:r>
      <w:r>
        <w:rPr>
          <w:highlight w:val="none"/>
        </w:rPr>
        <w:instrText xml:space="preserve"> HYPERLINK \l "_Toc8872" </w:instrText>
      </w:r>
      <w:r>
        <w:rPr>
          <w:highlight w:val="none"/>
        </w:rPr>
        <w:fldChar w:fldCharType="separate"/>
      </w:r>
      <w:r>
        <w:rPr>
          <w:rFonts w:hint="eastAsia" w:ascii="黑体" w:hAnsi="黑体" w:eastAsia="黑体" w:cs="黑体"/>
          <w:sz w:val="28"/>
          <w:szCs w:val="28"/>
          <w:highlight w:val="none"/>
        </w:rPr>
        <w:t>十一、考察</w:t>
      </w:r>
      <w:r>
        <w:rPr>
          <w:rFonts w:ascii="黑体" w:hAnsi="黑体" w:eastAsia="黑体" w:cs="黑体"/>
          <w:sz w:val="28"/>
          <w:szCs w:val="28"/>
          <w:highlight w:val="none"/>
        </w:rPr>
        <w:tab/>
      </w:r>
      <w:r>
        <w:rPr>
          <w:rFonts w:ascii="黑体" w:hAnsi="黑体" w:eastAsia="黑体" w:cs="黑体"/>
          <w:sz w:val="28"/>
          <w:szCs w:val="28"/>
          <w:highlight w:val="none"/>
        </w:rPr>
        <w:fldChar w:fldCharType="begin"/>
      </w:r>
      <w:r>
        <w:rPr>
          <w:rFonts w:ascii="黑体" w:hAnsi="黑体" w:eastAsia="黑体" w:cs="黑体"/>
          <w:sz w:val="28"/>
          <w:szCs w:val="28"/>
          <w:highlight w:val="none"/>
        </w:rPr>
        <w:instrText xml:space="preserve"> PAGEREF _Toc8872 </w:instrText>
      </w:r>
      <w:r>
        <w:rPr>
          <w:rFonts w:ascii="黑体" w:hAnsi="黑体" w:eastAsia="黑体" w:cs="黑体"/>
          <w:sz w:val="28"/>
          <w:szCs w:val="28"/>
          <w:highlight w:val="none"/>
        </w:rPr>
        <w:fldChar w:fldCharType="separate"/>
      </w:r>
      <w:r>
        <w:rPr>
          <w:rFonts w:ascii="黑体" w:hAnsi="黑体" w:eastAsia="黑体" w:cs="黑体"/>
          <w:sz w:val="28"/>
          <w:szCs w:val="28"/>
          <w:highlight w:val="none"/>
        </w:rPr>
        <w:t>16</w:t>
      </w:r>
      <w:r>
        <w:rPr>
          <w:rFonts w:ascii="黑体" w:hAnsi="黑体" w:eastAsia="黑体" w:cs="黑体"/>
          <w:sz w:val="28"/>
          <w:szCs w:val="28"/>
          <w:highlight w:val="none"/>
        </w:rPr>
        <w:fldChar w:fldCharType="end"/>
      </w:r>
      <w:r>
        <w:rPr>
          <w:rFonts w:ascii="黑体" w:hAnsi="黑体" w:eastAsia="黑体" w:cs="黑体"/>
          <w:sz w:val="28"/>
          <w:szCs w:val="28"/>
          <w:highlight w:val="none"/>
        </w:rPr>
        <w:fldChar w:fldCharType="end"/>
      </w:r>
    </w:p>
    <w:p>
      <w:pPr>
        <w:pStyle w:val="16"/>
        <w:tabs>
          <w:tab w:val="right" w:leader="dot" w:pos="8306"/>
        </w:tabs>
        <w:spacing w:line="420" w:lineRule="exact"/>
        <w:rPr>
          <w:rFonts w:ascii="黑体" w:hAnsi="黑体" w:eastAsia="黑体" w:cs="黑体"/>
          <w:sz w:val="28"/>
          <w:szCs w:val="28"/>
          <w:highlight w:val="none"/>
        </w:rPr>
      </w:pPr>
      <w:r>
        <w:rPr>
          <w:highlight w:val="none"/>
        </w:rPr>
        <w:fldChar w:fldCharType="begin"/>
      </w:r>
      <w:r>
        <w:rPr>
          <w:highlight w:val="none"/>
        </w:rPr>
        <w:instrText xml:space="preserve"> HYPERLINK \l "_Toc1590" </w:instrText>
      </w:r>
      <w:r>
        <w:rPr>
          <w:highlight w:val="none"/>
        </w:rPr>
        <w:fldChar w:fldCharType="separate"/>
      </w:r>
      <w:r>
        <w:rPr>
          <w:rFonts w:hint="eastAsia" w:ascii="黑体" w:hAnsi="黑体" w:eastAsia="黑体" w:cs="黑体"/>
          <w:sz w:val="28"/>
          <w:szCs w:val="28"/>
          <w:highlight w:val="none"/>
        </w:rPr>
        <w:t>十</w:t>
      </w:r>
      <w:r>
        <w:rPr>
          <w:rFonts w:hint="eastAsia" w:ascii="黑体" w:hAnsi="黑体" w:eastAsia="黑体" w:cs="黑体"/>
          <w:sz w:val="28"/>
          <w:szCs w:val="28"/>
          <w:highlight w:val="none"/>
          <w:lang w:eastAsia="zh-CN"/>
        </w:rPr>
        <w:t>二</w:t>
      </w:r>
      <w:r>
        <w:rPr>
          <w:rFonts w:hint="eastAsia" w:ascii="黑体" w:hAnsi="黑体" w:eastAsia="黑体" w:cs="黑体"/>
          <w:sz w:val="28"/>
          <w:szCs w:val="28"/>
          <w:highlight w:val="none"/>
        </w:rPr>
        <w:t>、</w:t>
      </w:r>
      <w:r>
        <w:rPr>
          <w:rFonts w:hint="eastAsia" w:ascii="黑体" w:hAnsi="黑体" w:eastAsia="黑体" w:cs="黑体"/>
          <w:sz w:val="28"/>
          <w:szCs w:val="28"/>
          <w:highlight w:val="none"/>
          <w:lang w:eastAsia="zh-CN"/>
        </w:rPr>
        <w:t>录取</w:t>
      </w:r>
      <w:r>
        <w:rPr>
          <w:rFonts w:ascii="黑体" w:hAnsi="黑体" w:eastAsia="黑体" w:cs="黑体"/>
          <w:sz w:val="28"/>
          <w:szCs w:val="28"/>
          <w:highlight w:val="none"/>
        </w:rPr>
        <w:tab/>
      </w:r>
      <w:r>
        <w:rPr>
          <w:rFonts w:ascii="黑体" w:hAnsi="黑体" w:eastAsia="黑体" w:cs="黑体"/>
          <w:sz w:val="28"/>
          <w:szCs w:val="28"/>
          <w:highlight w:val="none"/>
        </w:rPr>
        <w:fldChar w:fldCharType="begin"/>
      </w:r>
      <w:r>
        <w:rPr>
          <w:rFonts w:ascii="黑体" w:hAnsi="黑体" w:eastAsia="黑体" w:cs="黑体"/>
          <w:sz w:val="28"/>
          <w:szCs w:val="28"/>
          <w:highlight w:val="none"/>
        </w:rPr>
        <w:instrText xml:space="preserve"> PAGEREF _Toc1590 </w:instrText>
      </w:r>
      <w:r>
        <w:rPr>
          <w:rFonts w:ascii="黑体" w:hAnsi="黑体" w:eastAsia="黑体" w:cs="黑体"/>
          <w:sz w:val="28"/>
          <w:szCs w:val="28"/>
          <w:highlight w:val="none"/>
        </w:rPr>
        <w:fldChar w:fldCharType="separate"/>
      </w:r>
      <w:r>
        <w:rPr>
          <w:rFonts w:ascii="黑体" w:hAnsi="黑体" w:eastAsia="黑体" w:cs="黑体"/>
          <w:sz w:val="28"/>
          <w:szCs w:val="28"/>
          <w:highlight w:val="none"/>
        </w:rPr>
        <w:t>1</w:t>
      </w:r>
      <w:r>
        <w:rPr>
          <w:rFonts w:hint="eastAsia" w:ascii="黑体" w:hAnsi="黑体" w:eastAsia="黑体" w:cs="黑体"/>
          <w:sz w:val="28"/>
          <w:szCs w:val="28"/>
          <w:highlight w:val="none"/>
          <w:lang w:val="en-US" w:eastAsia="zh-CN"/>
        </w:rPr>
        <w:t>7</w:t>
      </w:r>
      <w:r>
        <w:rPr>
          <w:rFonts w:ascii="黑体" w:hAnsi="黑体" w:eastAsia="黑体" w:cs="黑体"/>
          <w:sz w:val="28"/>
          <w:szCs w:val="28"/>
          <w:highlight w:val="none"/>
        </w:rPr>
        <w:fldChar w:fldCharType="end"/>
      </w:r>
      <w:r>
        <w:rPr>
          <w:rFonts w:ascii="黑体" w:hAnsi="黑体" w:eastAsia="黑体" w:cs="黑体"/>
          <w:sz w:val="28"/>
          <w:szCs w:val="28"/>
          <w:highlight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highlight w:val="none"/>
        </w:rPr>
        <w:fldChar w:fldCharType="begin"/>
      </w:r>
      <w:r>
        <w:rPr>
          <w:highlight w:val="none"/>
        </w:rPr>
        <w:instrText xml:space="preserve"> HYPERLINK \l "_Toc11638" </w:instrText>
      </w:r>
      <w:r>
        <w:rPr>
          <w:highlight w:val="none"/>
        </w:rPr>
        <w:fldChar w:fldCharType="separate"/>
      </w:r>
      <w:r>
        <w:rPr>
          <w:rFonts w:hint="eastAsia" w:ascii="楷体" w:hAnsi="楷体" w:eastAsia="楷体" w:cs="楷体"/>
          <w:sz w:val="28"/>
          <w:szCs w:val="28"/>
          <w:highlight w:val="none"/>
        </w:rPr>
        <w:t>（一）手续办理</w:t>
      </w:r>
      <w:r>
        <w:rPr>
          <w:rFonts w:ascii="楷体" w:hAnsi="楷体" w:eastAsia="楷体" w:cs="楷体"/>
          <w:sz w:val="28"/>
          <w:szCs w:val="28"/>
          <w:highlight w:val="none"/>
        </w:rPr>
        <w:tab/>
      </w:r>
      <w:r>
        <w:rPr>
          <w:rFonts w:ascii="楷体" w:hAnsi="楷体" w:eastAsia="楷体" w:cs="楷体"/>
          <w:sz w:val="28"/>
          <w:szCs w:val="28"/>
          <w:highlight w:val="none"/>
        </w:rPr>
        <w:fldChar w:fldCharType="begin"/>
      </w:r>
      <w:r>
        <w:rPr>
          <w:rFonts w:ascii="楷体" w:hAnsi="楷体" w:eastAsia="楷体" w:cs="楷体"/>
          <w:sz w:val="28"/>
          <w:szCs w:val="28"/>
          <w:highlight w:val="none"/>
        </w:rPr>
        <w:instrText xml:space="preserve"> PAGEREF _Toc11638 </w:instrText>
      </w:r>
      <w:r>
        <w:rPr>
          <w:rFonts w:ascii="楷体" w:hAnsi="楷体" w:eastAsia="楷体" w:cs="楷体"/>
          <w:sz w:val="28"/>
          <w:szCs w:val="28"/>
          <w:highlight w:val="none"/>
        </w:rPr>
        <w:fldChar w:fldCharType="separate"/>
      </w:r>
      <w:r>
        <w:rPr>
          <w:rFonts w:ascii="楷体" w:hAnsi="楷体" w:eastAsia="楷体" w:cs="楷体"/>
          <w:sz w:val="28"/>
          <w:szCs w:val="28"/>
          <w:highlight w:val="none"/>
        </w:rPr>
        <w:t>1</w:t>
      </w:r>
      <w:r>
        <w:rPr>
          <w:rFonts w:hint="eastAsia" w:ascii="楷体" w:hAnsi="楷体" w:eastAsia="楷体" w:cs="楷体"/>
          <w:sz w:val="28"/>
          <w:szCs w:val="28"/>
          <w:highlight w:val="none"/>
          <w:lang w:val="en-US" w:eastAsia="zh-CN"/>
        </w:rPr>
        <w:t>7</w:t>
      </w:r>
      <w:r>
        <w:rPr>
          <w:rFonts w:ascii="楷体" w:hAnsi="楷体" w:eastAsia="楷体" w:cs="楷体"/>
          <w:sz w:val="28"/>
          <w:szCs w:val="28"/>
          <w:highlight w:val="none"/>
        </w:rPr>
        <w:fldChar w:fldCharType="end"/>
      </w:r>
      <w:r>
        <w:rPr>
          <w:rFonts w:ascii="楷体" w:hAnsi="楷体" w:eastAsia="楷体" w:cs="楷体"/>
          <w:sz w:val="28"/>
          <w:szCs w:val="28"/>
          <w:highlight w:val="none"/>
        </w:rPr>
        <w:fldChar w:fldCharType="end"/>
      </w:r>
    </w:p>
    <w:p>
      <w:pPr>
        <w:pStyle w:val="17"/>
        <w:tabs>
          <w:tab w:val="right" w:leader="dot" w:pos="8306"/>
        </w:tabs>
        <w:spacing w:line="420" w:lineRule="exact"/>
        <w:ind w:left="420"/>
        <w:rPr>
          <w:rFonts w:ascii="黑体" w:hAnsi="黑体" w:eastAsia="黑体" w:cs="黑体"/>
          <w:sz w:val="28"/>
          <w:szCs w:val="28"/>
          <w:highlight w:val="none"/>
        </w:rPr>
      </w:pPr>
      <w:r>
        <w:rPr>
          <w:rFonts w:hint="eastAsia" w:ascii="楷体" w:hAnsi="楷体" w:eastAsia="楷体" w:cs="楷体"/>
          <w:color w:val="auto"/>
          <w:sz w:val="28"/>
          <w:szCs w:val="28"/>
          <w:highlight w:val="none"/>
          <w:u w:val="none"/>
        </w:rPr>
        <w:fldChar w:fldCharType="begin"/>
      </w:r>
      <w:r>
        <w:rPr>
          <w:rFonts w:hint="eastAsia" w:ascii="楷体" w:hAnsi="楷体" w:eastAsia="楷体" w:cs="楷体"/>
          <w:color w:val="auto"/>
          <w:sz w:val="28"/>
          <w:szCs w:val="28"/>
          <w:highlight w:val="none"/>
          <w:u w:val="none"/>
        </w:rPr>
        <w:instrText xml:space="preserve"> HYPERLINK \l "人员录取" </w:instrText>
      </w:r>
      <w:r>
        <w:rPr>
          <w:rFonts w:hint="eastAsia" w:ascii="楷体" w:hAnsi="楷体" w:eastAsia="楷体" w:cs="楷体"/>
          <w:color w:val="auto"/>
          <w:sz w:val="28"/>
          <w:szCs w:val="28"/>
          <w:highlight w:val="none"/>
          <w:u w:val="none"/>
        </w:rPr>
        <w:fldChar w:fldCharType="separate"/>
      </w:r>
      <w:r>
        <w:rPr>
          <w:rStyle w:val="9"/>
          <w:rFonts w:hint="eastAsia" w:ascii="楷体" w:hAnsi="楷体" w:eastAsia="楷体" w:cs="楷体"/>
          <w:sz w:val="28"/>
          <w:szCs w:val="28"/>
          <w:highlight w:val="none"/>
        </w:rPr>
        <w:t>（二）</w:t>
      </w:r>
      <w:r>
        <w:rPr>
          <w:rStyle w:val="9"/>
          <w:rFonts w:hint="eastAsia" w:ascii="楷体" w:hAnsi="楷体" w:eastAsia="楷体" w:cs="楷体"/>
          <w:sz w:val="28"/>
          <w:szCs w:val="28"/>
          <w:highlight w:val="none"/>
          <w:lang w:eastAsia="zh-CN"/>
        </w:rPr>
        <w:t>人员录取</w:t>
      </w:r>
      <w:r>
        <w:rPr>
          <w:rStyle w:val="9"/>
          <w:rFonts w:ascii="楷体" w:hAnsi="楷体" w:eastAsia="楷体" w:cs="楷体"/>
          <w:sz w:val="28"/>
          <w:szCs w:val="28"/>
          <w:highlight w:val="none"/>
        </w:rPr>
        <w:tab/>
      </w:r>
      <w:r>
        <w:rPr>
          <w:rStyle w:val="9"/>
          <w:rFonts w:ascii="楷体" w:hAnsi="楷体" w:eastAsia="楷体" w:cs="楷体"/>
          <w:sz w:val="28"/>
          <w:szCs w:val="28"/>
          <w:highlight w:val="none"/>
        </w:rPr>
        <w:fldChar w:fldCharType="begin"/>
      </w:r>
      <w:r>
        <w:rPr>
          <w:rStyle w:val="9"/>
          <w:rFonts w:ascii="楷体" w:hAnsi="楷体" w:eastAsia="楷体" w:cs="楷体"/>
          <w:sz w:val="28"/>
          <w:szCs w:val="28"/>
          <w:highlight w:val="none"/>
        </w:rPr>
        <w:instrText xml:space="preserve"> PAGEREF _Toc3132 </w:instrText>
      </w:r>
      <w:r>
        <w:rPr>
          <w:rStyle w:val="9"/>
          <w:rFonts w:ascii="楷体" w:hAnsi="楷体" w:eastAsia="楷体" w:cs="楷体"/>
          <w:sz w:val="28"/>
          <w:szCs w:val="28"/>
          <w:highlight w:val="none"/>
        </w:rPr>
        <w:fldChar w:fldCharType="separate"/>
      </w:r>
      <w:r>
        <w:rPr>
          <w:rStyle w:val="9"/>
          <w:rFonts w:ascii="楷体" w:hAnsi="楷体" w:eastAsia="楷体" w:cs="楷体"/>
          <w:sz w:val="28"/>
          <w:szCs w:val="28"/>
          <w:highlight w:val="none"/>
        </w:rPr>
        <w:t>17</w:t>
      </w:r>
      <w:r>
        <w:rPr>
          <w:rStyle w:val="9"/>
          <w:rFonts w:ascii="楷体" w:hAnsi="楷体" w:eastAsia="楷体" w:cs="楷体"/>
          <w:sz w:val="28"/>
          <w:szCs w:val="28"/>
          <w:highlight w:val="none"/>
        </w:rPr>
        <w:fldChar w:fldCharType="end"/>
      </w:r>
      <w:r>
        <w:rPr>
          <w:rFonts w:hint="eastAsia" w:ascii="楷体" w:hAnsi="楷体" w:eastAsia="楷体" w:cs="楷体"/>
          <w:color w:val="auto"/>
          <w:sz w:val="28"/>
          <w:szCs w:val="28"/>
          <w:highlight w:val="none"/>
          <w:u w:val="none"/>
        </w:rPr>
        <w:fldChar w:fldCharType="end"/>
      </w:r>
    </w:p>
    <w:p>
      <w:pPr>
        <w:pStyle w:val="16"/>
        <w:tabs>
          <w:tab w:val="right" w:leader="dot" w:pos="8306"/>
        </w:tabs>
        <w:spacing w:line="420" w:lineRule="exact"/>
        <w:rPr>
          <w:rFonts w:ascii="黑体" w:hAnsi="黑体" w:eastAsia="黑体" w:cs="黑体"/>
          <w:sz w:val="28"/>
          <w:szCs w:val="28"/>
          <w:highlight w:val="none"/>
        </w:rPr>
      </w:pPr>
      <w:r>
        <w:rPr>
          <w:rFonts w:hint="eastAsia" w:ascii="黑体" w:hAnsi="黑体" w:eastAsia="黑体" w:cs="黑体"/>
          <w:color w:val="auto"/>
          <w:sz w:val="28"/>
          <w:szCs w:val="28"/>
          <w:highlight w:val="none"/>
          <w:u w:val="none"/>
        </w:rPr>
        <w:fldChar w:fldCharType="begin"/>
      </w:r>
      <w:r>
        <w:rPr>
          <w:rFonts w:hint="eastAsia" w:ascii="黑体" w:hAnsi="黑体" w:eastAsia="黑体" w:cs="黑体"/>
          <w:color w:val="auto"/>
          <w:sz w:val="28"/>
          <w:szCs w:val="28"/>
          <w:highlight w:val="none"/>
          <w:u w:val="none"/>
        </w:rPr>
        <w:instrText xml:space="preserve"> HYPERLINK \l "其他事项" </w:instrText>
      </w:r>
      <w:r>
        <w:rPr>
          <w:rFonts w:hint="eastAsia" w:ascii="黑体" w:hAnsi="黑体" w:eastAsia="黑体" w:cs="黑体"/>
          <w:color w:val="auto"/>
          <w:sz w:val="28"/>
          <w:szCs w:val="28"/>
          <w:highlight w:val="none"/>
          <w:u w:val="none"/>
        </w:rPr>
        <w:fldChar w:fldCharType="separate"/>
      </w:r>
      <w:r>
        <w:rPr>
          <w:rStyle w:val="9"/>
          <w:rFonts w:hint="eastAsia" w:ascii="黑体" w:hAnsi="黑体" w:eastAsia="黑体" w:cs="黑体"/>
          <w:sz w:val="28"/>
          <w:szCs w:val="28"/>
          <w:highlight w:val="none"/>
        </w:rPr>
        <w:t>十</w:t>
      </w:r>
      <w:r>
        <w:rPr>
          <w:rStyle w:val="9"/>
          <w:rFonts w:hint="eastAsia" w:ascii="黑体" w:hAnsi="黑体" w:eastAsia="黑体" w:cs="黑体"/>
          <w:sz w:val="28"/>
          <w:szCs w:val="28"/>
          <w:highlight w:val="none"/>
          <w:lang w:eastAsia="zh-CN"/>
        </w:rPr>
        <w:t>三</w:t>
      </w:r>
      <w:r>
        <w:rPr>
          <w:rStyle w:val="9"/>
          <w:rFonts w:hint="eastAsia" w:ascii="黑体" w:hAnsi="黑体" w:eastAsia="黑体" w:cs="黑体"/>
          <w:sz w:val="28"/>
          <w:szCs w:val="28"/>
          <w:highlight w:val="none"/>
        </w:rPr>
        <w:t>、其他事项</w:t>
      </w:r>
      <w:r>
        <w:rPr>
          <w:rStyle w:val="9"/>
          <w:rFonts w:ascii="黑体" w:hAnsi="黑体" w:eastAsia="黑体" w:cs="黑体"/>
          <w:sz w:val="28"/>
          <w:szCs w:val="28"/>
          <w:highlight w:val="none"/>
        </w:rPr>
        <w:tab/>
      </w:r>
      <w:r>
        <w:rPr>
          <w:rStyle w:val="9"/>
          <w:rFonts w:ascii="黑体" w:hAnsi="黑体" w:eastAsia="黑体" w:cs="黑体"/>
          <w:sz w:val="28"/>
          <w:szCs w:val="28"/>
          <w:highlight w:val="none"/>
        </w:rPr>
        <w:fldChar w:fldCharType="begin"/>
      </w:r>
      <w:r>
        <w:rPr>
          <w:rStyle w:val="9"/>
          <w:rFonts w:ascii="黑体" w:hAnsi="黑体" w:eastAsia="黑体" w:cs="黑体"/>
          <w:sz w:val="28"/>
          <w:szCs w:val="28"/>
          <w:highlight w:val="none"/>
        </w:rPr>
        <w:instrText xml:space="preserve"> PAGEREF _Toc1291 </w:instrText>
      </w:r>
      <w:r>
        <w:rPr>
          <w:rStyle w:val="9"/>
          <w:rFonts w:ascii="黑体" w:hAnsi="黑体" w:eastAsia="黑体" w:cs="黑体"/>
          <w:sz w:val="28"/>
          <w:szCs w:val="28"/>
          <w:highlight w:val="none"/>
        </w:rPr>
        <w:fldChar w:fldCharType="separate"/>
      </w:r>
      <w:r>
        <w:rPr>
          <w:rStyle w:val="9"/>
          <w:rFonts w:ascii="黑体" w:hAnsi="黑体" w:eastAsia="黑体" w:cs="黑体"/>
          <w:sz w:val="28"/>
          <w:szCs w:val="28"/>
          <w:highlight w:val="none"/>
        </w:rPr>
        <w:t>1</w:t>
      </w:r>
      <w:r>
        <w:rPr>
          <w:rStyle w:val="9"/>
          <w:rFonts w:hint="eastAsia" w:ascii="黑体" w:hAnsi="黑体" w:eastAsia="黑体" w:cs="黑体"/>
          <w:sz w:val="28"/>
          <w:szCs w:val="28"/>
          <w:highlight w:val="none"/>
          <w:lang w:val="en-US" w:eastAsia="zh-CN"/>
        </w:rPr>
        <w:t>8</w:t>
      </w:r>
      <w:r>
        <w:rPr>
          <w:rStyle w:val="9"/>
          <w:rFonts w:ascii="黑体" w:hAnsi="黑体" w:eastAsia="黑体" w:cs="黑体"/>
          <w:sz w:val="28"/>
          <w:szCs w:val="28"/>
          <w:highlight w:val="none"/>
        </w:rPr>
        <w:fldChar w:fldCharType="end"/>
      </w:r>
      <w:r>
        <w:rPr>
          <w:rFonts w:hint="eastAsia" w:ascii="黑体" w:hAnsi="黑体" w:eastAsia="黑体" w:cs="黑体"/>
          <w:color w:val="auto"/>
          <w:sz w:val="28"/>
          <w:szCs w:val="28"/>
          <w:highlight w:val="none"/>
          <w:u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highlight w:val="none"/>
        </w:rPr>
        <w:fldChar w:fldCharType="begin"/>
      </w:r>
      <w:r>
        <w:rPr>
          <w:highlight w:val="none"/>
        </w:rPr>
        <w:instrText xml:space="preserve"> HYPERLINK \l "_Toc25386" </w:instrText>
      </w:r>
      <w:r>
        <w:rPr>
          <w:highlight w:val="none"/>
        </w:rPr>
        <w:fldChar w:fldCharType="separate"/>
      </w:r>
      <w:r>
        <w:rPr>
          <w:rFonts w:hint="eastAsia" w:ascii="楷体" w:hAnsi="楷体" w:eastAsia="楷体" w:cs="楷体"/>
          <w:sz w:val="28"/>
          <w:szCs w:val="28"/>
          <w:highlight w:val="none"/>
        </w:rPr>
        <w:t>（一）中共党员</w:t>
      </w:r>
      <w:r>
        <w:rPr>
          <w:rFonts w:ascii="楷体" w:hAnsi="楷体" w:eastAsia="楷体" w:cs="楷体"/>
          <w:sz w:val="28"/>
          <w:szCs w:val="28"/>
          <w:highlight w:val="none"/>
        </w:rPr>
        <w:tab/>
      </w:r>
      <w:r>
        <w:rPr>
          <w:rFonts w:ascii="楷体" w:hAnsi="楷体" w:eastAsia="楷体" w:cs="楷体"/>
          <w:sz w:val="28"/>
          <w:szCs w:val="28"/>
          <w:highlight w:val="none"/>
        </w:rPr>
        <w:fldChar w:fldCharType="begin"/>
      </w:r>
      <w:r>
        <w:rPr>
          <w:rFonts w:ascii="楷体" w:hAnsi="楷体" w:eastAsia="楷体" w:cs="楷体"/>
          <w:sz w:val="28"/>
          <w:szCs w:val="28"/>
          <w:highlight w:val="none"/>
        </w:rPr>
        <w:instrText xml:space="preserve"> PAGEREF _Toc25386 </w:instrText>
      </w:r>
      <w:r>
        <w:rPr>
          <w:rFonts w:ascii="楷体" w:hAnsi="楷体" w:eastAsia="楷体" w:cs="楷体"/>
          <w:sz w:val="28"/>
          <w:szCs w:val="28"/>
          <w:highlight w:val="none"/>
        </w:rPr>
        <w:fldChar w:fldCharType="separate"/>
      </w:r>
      <w:r>
        <w:rPr>
          <w:rFonts w:ascii="楷体" w:hAnsi="楷体" w:eastAsia="楷体" w:cs="楷体"/>
          <w:sz w:val="28"/>
          <w:szCs w:val="28"/>
          <w:highlight w:val="none"/>
        </w:rPr>
        <w:t>1</w:t>
      </w:r>
      <w:r>
        <w:rPr>
          <w:rFonts w:hint="eastAsia" w:ascii="楷体" w:hAnsi="楷体" w:eastAsia="楷体" w:cs="楷体"/>
          <w:sz w:val="28"/>
          <w:szCs w:val="28"/>
          <w:highlight w:val="none"/>
          <w:lang w:val="en-US" w:eastAsia="zh-CN"/>
        </w:rPr>
        <w:t>8</w:t>
      </w:r>
      <w:r>
        <w:rPr>
          <w:rFonts w:ascii="楷体" w:hAnsi="楷体" w:eastAsia="楷体" w:cs="楷体"/>
          <w:sz w:val="28"/>
          <w:szCs w:val="28"/>
          <w:highlight w:val="none"/>
        </w:rPr>
        <w:fldChar w:fldCharType="end"/>
      </w:r>
      <w:r>
        <w:rPr>
          <w:rFonts w:ascii="楷体" w:hAnsi="楷体" w:eastAsia="楷体" w:cs="楷体"/>
          <w:sz w:val="28"/>
          <w:szCs w:val="28"/>
          <w:highlight w:val="none"/>
        </w:rPr>
        <w:fldChar w:fldCharType="end"/>
      </w:r>
    </w:p>
    <w:p>
      <w:pPr>
        <w:pStyle w:val="17"/>
        <w:tabs>
          <w:tab w:val="right" w:leader="dot" w:pos="8306"/>
        </w:tabs>
        <w:spacing w:line="420" w:lineRule="exact"/>
        <w:ind w:left="420"/>
        <w:rPr>
          <w:rFonts w:ascii="黑体" w:hAnsi="黑体" w:eastAsia="黑体" w:cs="黑体"/>
          <w:sz w:val="28"/>
          <w:szCs w:val="28"/>
          <w:highlight w:val="none"/>
        </w:rPr>
      </w:pPr>
      <w:r>
        <w:rPr>
          <w:highlight w:val="none"/>
        </w:rPr>
        <w:fldChar w:fldCharType="begin"/>
      </w:r>
      <w:r>
        <w:rPr>
          <w:highlight w:val="none"/>
        </w:rPr>
        <w:instrText xml:space="preserve"> HYPERLINK \l "_Toc5977" </w:instrText>
      </w:r>
      <w:r>
        <w:rPr>
          <w:highlight w:val="none"/>
        </w:rPr>
        <w:fldChar w:fldCharType="separate"/>
      </w:r>
      <w:r>
        <w:rPr>
          <w:rFonts w:hint="eastAsia" w:ascii="楷体" w:hAnsi="楷体" w:eastAsia="楷体" w:cs="楷体"/>
          <w:sz w:val="28"/>
          <w:szCs w:val="28"/>
          <w:highlight w:val="none"/>
        </w:rPr>
        <w:t>（二）职称（专业技术职务任职资格）</w:t>
      </w:r>
      <w:r>
        <w:rPr>
          <w:rFonts w:ascii="楷体" w:hAnsi="楷体" w:eastAsia="楷体" w:cs="楷体"/>
          <w:sz w:val="28"/>
          <w:szCs w:val="28"/>
          <w:highlight w:val="none"/>
        </w:rPr>
        <w:tab/>
      </w:r>
      <w:r>
        <w:rPr>
          <w:rFonts w:ascii="楷体" w:hAnsi="楷体" w:eastAsia="楷体" w:cs="楷体"/>
          <w:sz w:val="28"/>
          <w:szCs w:val="28"/>
          <w:highlight w:val="none"/>
        </w:rPr>
        <w:fldChar w:fldCharType="begin"/>
      </w:r>
      <w:r>
        <w:rPr>
          <w:rFonts w:ascii="楷体" w:hAnsi="楷体" w:eastAsia="楷体" w:cs="楷体"/>
          <w:sz w:val="28"/>
          <w:szCs w:val="28"/>
          <w:highlight w:val="none"/>
        </w:rPr>
        <w:instrText xml:space="preserve"> PAGEREF _Toc5977 </w:instrText>
      </w:r>
      <w:r>
        <w:rPr>
          <w:rFonts w:ascii="楷体" w:hAnsi="楷体" w:eastAsia="楷体" w:cs="楷体"/>
          <w:sz w:val="28"/>
          <w:szCs w:val="28"/>
          <w:highlight w:val="none"/>
        </w:rPr>
        <w:fldChar w:fldCharType="separate"/>
      </w:r>
      <w:r>
        <w:rPr>
          <w:rFonts w:ascii="楷体" w:hAnsi="楷体" w:eastAsia="楷体" w:cs="楷体"/>
          <w:sz w:val="28"/>
          <w:szCs w:val="28"/>
          <w:highlight w:val="none"/>
        </w:rPr>
        <w:t>1</w:t>
      </w:r>
      <w:r>
        <w:rPr>
          <w:rFonts w:hint="eastAsia" w:ascii="楷体" w:hAnsi="楷体" w:eastAsia="楷体" w:cs="楷体"/>
          <w:sz w:val="28"/>
          <w:szCs w:val="28"/>
          <w:highlight w:val="none"/>
          <w:lang w:val="en-US" w:eastAsia="zh-CN"/>
        </w:rPr>
        <w:t>8</w:t>
      </w:r>
      <w:r>
        <w:rPr>
          <w:rFonts w:ascii="楷体" w:hAnsi="楷体" w:eastAsia="楷体" w:cs="楷体"/>
          <w:sz w:val="28"/>
          <w:szCs w:val="28"/>
          <w:highlight w:val="none"/>
        </w:rPr>
        <w:fldChar w:fldCharType="end"/>
      </w:r>
      <w:r>
        <w:rPr>
          <w:rFonts w:ascii="楷体" w:hAnsi="楷体" w:eastAsia="楷体" w:cs="楷体"/>
          <w:sz w:val="28"/>
          <w:szCs w:val="28"/>
          <w:highlight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rFonts w:hint="eastAsia" w:ascii="楷体" w:hAnsi="楷体" w:eastAsia="楷体" w:cs="楷体"/>
          <w:color w:val="auto"/>
          <w:sz w:val="28"/>
          <w:szCs w:val="28"/>
          <w:highlight w:val="none"/>
          <w:u w:val="none"/>
        </w:rPr>
        <w:fldChar w:fldCharType="begin"/>
      </w:r>
      <w:r>
        <w:rPr>
          <w:rFonts w:hint="eastAsia" w:ascii="楷体" w:hAnsi="楷体" w:eastAsia="楷体" w:cs="楷体"/>
          <w:color w:val="auto"/>
          <w:sz w:val="28"/>
          <w:szCs w:val="28"/>
          <w:highlight w:val="none"/>
          <w:u w:val="none"/>
        </w:rPr>
        <w:instrText xml:space="preserve"> HYPERLINK \l "规范化培训" </w:instrText>
      </w:r>
      <w:r>
        <w:rPr>
          <w:rFonts w:hint="eastAsia" w:ascii="楷体" w:hAnsi="楷体" w:eastAsia="楷体" w:cs="楷体"/>
          <w:color w:val="auto"/>
          <w:sz w:val="28"/>
          <w:szCs w:val="28"/>
          <w:highlight w:val="none"/>
          <w:u w:val="none"/>
        </w:rPr>
        <w:fldChar w:fldCharType="separate"/>
      </w:r>
      <w:r>
        <w:rPr>
          <w:rStyle w:val="9"/>
          <w:rFonts w:hint="eastAsia" w:ascii="楷体" w:hAnsi="楷体" w:eastAsia="楷体" w:cs="楷体"/>
          <w:sz w:val="28"/>
          <w:szCs w:val="28"/>
          <w:highlight w:val="none"/>
        </w:rPr>
        <w:t>（三）规范化培训</w:t>
      </w:r>
      <w:r>
        <w:rPr>
          <w:rStyle w:val="9"/>
          <w:rFonts w:ascii="楷体" w:hAnsi="楷体" w:eastAsia="楷体" w:cs="楷体"/>
          <w:sz w:val="28"/>
          <w:szCs w:val="28"/>
          <w:highlight w:val="none"/>
        </w:rPr>
        <w:tab/>
      </w:r>
      <w:r>
        <w:rPr>
          <w:rStyle w:val="9"/>
          <w:rFonts w:ascii="楷体" w:hAnsi="楷体" w:eastAsia="楷体" w:cs="楷体"/>
          <w:sz w:val="28"/>
          <w:szCs w:val="28"/>
          <w:highlight w:val="none"/>
        </w:rPr>
        <w:fldChar w:fldCharType="begin"/>
      </w:r>
      <w:r>
        <w:rPr>
          <w:rStyle w:val="9"/>
          <w:rFonts w:ascii="楷体" w:hAnsi="楷体" w:eastAsia="楷体" w:cs="楷体"/>
          <w:sz w:val="28"/>
          <w:szCs w:val="28"/>
          <w:highlight w:val="none"/>
        </w:rPr>
        <w:instrText xml:space="preserve"> PAGEREF _Toc22170 </w:instrText>
      </w:r>
      <w:r>
        <w:rPr>
          <w:rStyle w:val="9"/>
          <w:rFonts w:ascii="楷体" w:hAnsi="楷体" w:eastAsia="楷体" w:cs="楷体"/>
          <w:sz w:val="28"/>
          <w:szCs w:val="28"/>
          <w:highlight w:val="none"/>
        </w:rPr>
        <w:fldChar w:fldCharType="separate"/>
      </w:r>
      <w:r>
        <w:rPr>
          <w:rStyle w:val="9"/>
          <w:rFonts w:ascii="楷体" w:hAnsi="楷体" w:eastAsia="楷体" w:cs="楷体"/>
          <w:sz w:val="28"/>
          <w:szCs w:val="28"/>
          <w:highlight w:val="none"/>
        </w:rPr>
        <w:t>1</w:t>
      </w:r>
      <w:r>
        <w:rPr>
          <w:rStyle w:val="9"/>
          <w:rFonts w:hint="eastAsia" w:ascii="楷体" w:hAnsi="楷体" w:eastAsia="楷体" w:cs="楷体"/>
          <w:sz w:val="28"/>
          <w:szCs w:val="28"/>
          <w:highlight w:val="none"/>
          <w:lang w:val="en-US" w:eastAsia="zh-CN"/>
        </w:rPr>
        <w:t>9</w:t>
      </w:r>
      <w:r>
        <w:rPr>
          <w:rStyle w:val="9"/>
          <w:rFonts w:ascii="楷体" w:hAnsi="楷体" w:eastAsia="楷体" w:cs="楷体"/>
          <w:sz w:val="28"/>
          <w:szCs w:val="28"/>
          <w:highlight w:val="none"/>
        </w:rPr>
        <w:fldChar w:fldCharType="end"/>
      </w:r>
      <w:r>
        <w:rPr>
          <w:rFonts w:hint="eastAsia" w:ascii="楷体" w:hAnsi="楷体" w:eastAsia="楷体" w:cs="楷体"/>
          <w:color w:val="auto"/>
          <w:sz w:val="28"/>
          <w:szCs w:val="28"/>
          <w:highlight w:val="none"/>
          <w:u w:val="none"/>
        </w:rPr>
        <w:fldChar w:fldCharType="end"/>
      </w:r>
    </w:p>
    <w:p>
      <w:pPr>
        <w:pStyle w:val="17"/>
        <w:tabs>
          <w:tab w:val="right" w:leader="dot" w:pos="8306"/>
        </w:tabs>
        <w:spacing w:line="420" w:lineRule="exact"/>
        <w:ind w:left="420"/>
        <w:rPr>
          <w:rFonts w:hint="eastAsia" w:ascii="楷体" w:hAnsi="楷体" w:eastAsia="楷体" w:cs="楷体"/>
          <w:sz w:val="28"/>
          <w:szCs w:val="28"/>
          <w:highlight w:val="none"/>
          <w:lang w:val="en-US" w:eastAsia="zh-CN"/>
        </w:rPr>
      </w:pPr>
      <w:r>
        <w:rPr>
          <w:rFonts w:hint="eastAsia" w:ascii="楷体" w:hAnsi="楷体" w:eastAsia="楷体" w:cs="楷体"/>
          <w:color w:val="auto"/>
          <w:sz w:val="28"/>
          <w:szCs w:val="28"/>
          <w:highlight w:val="none"/>
          <w:u w:val="none"/>
        </w:rPr>
        <w:fldChar w:fldCharType="begin"/>
      </w:r>
      <w:r>
        <w:rPr>
          <w:rFonts w:hint="eastAsia" w:ascii="楷体" w:hAnsi="楷体" w:eastAsia="楷体" w:cs="楷体"/>
          <w:color w:val="auto"/>
          <w:sz w:val="28"/>
          <w:szCs w:val="28"/>
          <w:highlight w:val="none"/>
          <w:u w:val="none"/>
        </w:rPr>
        <w:instrText xml:space="preserve"> HYPERLINK \l "应届高校毕业生" </w:instrText>
      </w:r>
      <w:r>
        <w:rPr>
          <w:rFonts w:hint="eastAsia" w:ascii="楷体" w:hAnsi="楷体" w:eastAsia="楷体" w:cs="楷体"/>
          <w:color w:val="auto"/>
          <w:sz w:val="28"/>
          <w:szCs w:val="28"/>
          <w:highlight w:val="none"/>
          <w:u w:val="none"/>
        </w:rPr>
        <w:fldChar w:fldCharType="separate"/>
      </w:r>
      <w:r>
        <w:rPr>
          <w:rStyle w:val="9"/>
          <w:rFonts w:hint="eastAsia" w:ascii="楷体" w:hAnsi="楷体" w:eastAsia="楷体" w:cs="楷体"/>
          <w:sz w:val="28"/>
          <w:szCs w:val="28"/>
          <w:highlight w:val="none"/>
        </w:rPr>
        <w:t>（四）应届</w:t>
      </w:r>
      <w:r>
        <w:rPr>
          <w:rStyle w:val="9"/>
          <w:rFonts w:hint="eastAsia" w:ascii="楷体" w:hAnsi="楷体" w:eastAsia="楷体" w:cs="楷体"/>
          <w:sz w:val="28"/>
          <w:szCs w:val="28"/>
          <w:highlight w:val="none"/>
          <w:lang w:val="en-US" w:eastAsia="zh-CN"/>
        </w:rPr>
        <w:t>高校</w:t>
      </w:r>
      <w:r>
        <w:rPr>
          <w:rStyle w:val="9"/>
          <w:rFonts w:hint="eastAsia" w:ascii="楷体" w:hAnsi="楷体" w:eastAsia="楷体" w:cs="楷体"/>
          <w:sz w:val="28"/>
          <w:szCs w:val="28"/>
          <w:highlight w:val="none"/>
        </w:rPr>
        <w:t>毕业生</w:t>
      </w:r>
      <w:r>
        <w:rPr>
          <w:rStyle w:val="9"/>
          <w:rFonts w:ascii="楷体" w:hAnsi="楷体" w:eastAsia="楷体" w:cs="楷体"/>
          <w:sz w:val="28"/>
          <w:szCs w:val="28"/>
          <w:highlight w:val="none"/>
        </w:rPr>
        <w:tab/>
      </w:r>
      <w:r>
        <w:rPr>
          <w:rStyle w:val="9"/>
          <w:rFonts w:hint="eastAsia" w:ascii="楷体" w:hAnsi="楷体" w:eastAsia="楷体" w:cs="楷体"/>
          <w:sz w:val="28"/>
          <w:szCs w:val="28"/>
          <w:highlight w:val="none"/>
          <w:lang w:val="en-US" w:eastAsia="zh-CN"/>
        </w:rPr>
        <w:t>19</w:t>
      </w:r>
      <w:r>
        <w:rPr>
          <w:rFonts w:hint="eastAsia" w:ascii="楷体" w:hAnsi="楷体" w:eastAsia="楷体" w:cs="楷体"/>
          <w:color w:val="auto"/>
          <w:sz w:val="28"/>
          <w:szCs w:val="28"/>
          <w:highlight w:val="none"/>
          <w:u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rFonts w:hint="eastAsia" w:ascii="楷体" w:hAnsi="楷体" w:eastAsia="楷体" w:cs="楷体"/>
          <w:color w:val="auto"/>
          <w:sz w:val="28"/>
          <w:szCs w:val="28"/>
          <w:highlight w:val="none"/>
          <w:u w:val="none"/>
        </w:rPr>
        <w:fldChar w:fldCharType="begin"/>
      </w:r>
      <w:r>
        <w:rPr>
          <w:rFonts w:hint="eastAsia" w:ascii="楷体" w:hAnsi="楷体" w:eastAsia="楷体" w:cs="楷体"/>
          <w:color w:val="auto"/>
          <w:sz w:val="28"/>
          <w:szCs w:val="28"/>
          <w:highlight w:val="none"/>
          <w:u w:val="none"/>
        </w:rPr>
        <w:instrText xml:space="preserve"> HYPERLINK \l "未就业毕业生" </w:instrText>
      </w:r>
      <w:r>
        <w:rPr>
          <w:rFonts w:hint="eastAsia" w:ascii="楷体" w:hAnsi="楷体" w:eastAsia="楷体" w:cs="楷体"/>
          <w:color w:val="auto"/>
          <w:sz w:val="28"/>
          <w:szCs w:val="28"/>
          <w:highlight w:val="none"/>
          <w:u w:val="none"/>
        </w:rPr>
        <w:fldChar w:fldCharType="separate"/>
      </w:r>
      <w:r>
        <w:rPr>
          <w:rStyle w:val="9"/>
          <w:rFonts w:hint="eastAsia" w:ascii="楷体" w:hAnsi="楷体" w:eastAsia="楷体" w:cs="楷体"/>
          <w:sz w:val="28"/>
          <w:szCs w:val="28"/>
          <w:highlight w:val="none"/>
        </w:rPr>
        <w:t>（五）未就业毕业生</w:t>
      </w:r>
      <w:r>
        <w:rPr>
          <w:rStyle w:val="9"/>
          <w:rFonts w:ascii="楷体" w:hAnsi="楷体" w:eastAsia="楷体" w:cs="楷体"/>
          <w:sz w:val="28"/>
          <w:szCs w:val="28"/>
          <w:highlight w:val="none"/>
        </w:rPr>
        <w:tab/>
      </w:r>
      <w:r>
        <w:rPr>
          <w:rStyle w:val="9"/>
          <w:rFonts w:hint="eastAsia" w:ascii="楷体" w:hAnsi="楷体" w:eastAsia="楷体" w:cs="楷体"/>
          <w:sz w:val="28"/>
          <w:szCs w:val="28"/>
          <w:highlight w:val="none"/>
        </w:rPr>
        <w:t>20</w:t>
      </w:r>
      <w:r>
        <w:rPr>
          <w:rFonts w:hint="eastAsia" w:ascii="楷体" w:hAnsi="楷体" w:eastAsia="楷体" w:cs="楷体"/>
          <w:color w:val="auto"/>
          <w:sz w:val="28"/>
          <w:szCs w:val="28"/>
          <w:highlight w:val="none"/>
          <w:u w:val="none"/>
        </w:rPr>
        <w:fldChar w:fldCharType="end"/>
      </w:r>
    </w:p>
    <w:p>
      <w:pPr>
        <w:pStyle w:val="17"/>
        <w:tabs>
          <w:tab w:val="right" w:leader="dot" w:pos="8306"/>
        </w:tabs>
        <w:spacing w:line="420" w:lineRule="exact"/>
        <w:ind w:left="420"/>
        <w:rPr>
          <w:rFonts w:hint="eastAsia" w:ascii="楷体" w:hAnsi="楷体" w:eastAsia="楷体" w:cs="楷体"/>
          <w:sz w:val="28"/>
          <w:szCs w:val="28"/>
          <w:highlight w:val="none"/>
          <w:lang w:eastAsia="zh-CN"/>
        </w:rPr>
      </w:pPr>
      <w:r>
        <w:rPr>
          <w:rFonts w:hint="eastAsia" w:ascii="楷体" w:hAnsi="楷体" w:eastAsia="楷体" w:cs="楷体"/>
          <w:color w:val="auto"/>
          <w:sz w:val="28"/>
          <w:szCs w:val="28"/>
          <w:highlight w:val="none"/>
          <w:u w:val="none"/>
        </w:rPr>
        <w:fldChar w:fldCharType="begin"/>
      </w:r>
      <w:r>
        <w:rPr>
          <w:rFonts w:hint="eastAsia" w:ascii="楷体" w:hAnsi="楷体" w:eastAsia="楷体" w:cs="楷体"/>
          <w:color w:val="auto"/>
          <w:sz w:val="28"/>
          <w:szCs w:val="28"/>
          <w:highlight w:val="none"/>
          <w:u w:val="none"/>
        </w:rPr>
        <w:instrText xml:space="preserve"> HYPERLINK \l "生源、户籍" </w:instrText>
      </w:r>
      <w:r>
        <w:rPr>
          <w:rFonts w:hint="eastAsia" w:ascii="楷体" w:hAnsi="楷体" w:eastAsia="楷体" w:cs="楷体"/>
          <w:color w:val="auto"/>
          <w:sz w:val="28"/>
          <w:szCs w:val="28"/>
          <w:highlight w:val="none"/>
          <w:u w:val="none"/>
        </w:rPr>
        <w:fldChar w:fldCharType="separate"/>
      </w:r>
      <w:r>
        <w:rPr>
          <w:rStyle w:val="9"/>
          <w:rFonts w:hint="eastAsia" w:ascii="楷体" w:hAnsi="楷体" w:eastAsia="楷体" w:cs="楷体"/>
          <w:sz w:val="28"/>
          <w:szCs w:val="28"/>
          <w:highlight w:val="none"/>
        </w:rPr>
        <w:t>（六）生源、户籍</w:t>
      </w:r>
      <w:r>
        <w:rPr>
          <w:rStyle w:val="9"/>
          <w:rFonts w:ascii="楷体" w:hAnsi="楷体" w:eastAsia="楷体" w:cs="楷体"/>
          <w:sz w:val="28"/>
          <w:szCs w:val="28"/>
          <w:highlight w:val="none"/>
        </w:rPr>
        <w:tab/>
      </w:r>
      <w:r>
        <w:rPr>
          <w:rStyle w:val="9"/>
          <w:rFonts w:hint="eastAsia" w:ascii="楷体" w:hAnsi="楷体" w:eastAsia="楷体" w:cs="楷体"/>
          <w:sz w:val="28"/>
          <w:szCs w:val="28"/>
          <w:highlight w:val="none"/>
        </w:rPr>
        <w:t>2</w:t>
      </w:r>
      <w:r>
        <w:rPr>
          <w:rStyle w:val="9"/>
          <w:rFonts w:hint="eastAsia" w:ascii="楷体" w:hAnsi="楷体" w:eastAsia="楷体" w:cs="楷体"/>
          <w:sz w:val="28"/>
          <w:szCs w:val="28"/>
          <w:highlight w:val="none"/>
          <w:lang w:val="en-US" w:eastAsia="zh-CN"/>
        </w:rPr>
        <w:t>0</w:t>
      </w:r>
      <w:r>
        <w:rPr>
          <w:rFonts w:hint="eastAsia" w:ascii="楷体" w:hAnsi="楷体" w:eastAsia="楷体" w:cs="楷体"/>
          <w:color w:val="auto"/>
          <w:sz w:val="28"/>
          <w:szCs w:val="28"/>
          <w:highlight w:val="none"/>
          <w:u w:val="none"/>
        </w:rPr>
        <w:fldChar w:fldCharType="end"/>
      </w:r>
    </w:p>
    <w:p>
      <w:pPr>
        <w:pStyle w:val="17"/>
        <w:tabs>
          <w:tab w:val="right" w:leader="dot" w:pos="8306"/>
        </w:tabs>
        <w:spacing w:line="420" w:lineRule="exact"/>
        <w:ind w:left="420"/>
        <w:rPr>
          <w:rFonts w:ascii="楷体" w:hAnsi="楷体" w:eastAsia="楷体" w:cs="楷体"/>
          <w:sz w:val="28"/>
          <w:szCs w:val="28"/>
          <w:highlight w:val="none"/>
        </w:rPr>
      </w:pPr>
      <w:r>
        <w:rPr>
          <w:rFonts w:hint="eastAsia" w:ascii="楷体" w:hAnsi="楷体" w:eastAsia="楷体" w:cs="楷体"/>
          <w:color w:val="auto"/>
          <w:sz w:val="28"/>
          <w:szCs w:val="28"/>
          <w:highlight w:val="none"/>
          <w:u w:val="none"/>
        </w:rPr>
        <w:fldChar w:fldCharType="begin"/>
      </w:r>
      <w:r>
        <w:rPr>
          <w:rFonts w:hint="eastAsia" w:ascii="楷体" w:hAnsi="楷体" w:eastAsia="楷体" w:cs="楷体"/>
          <w:color w:val="auto"/>
          <w:sz w:val="28"/>
          <w:szCs w:val="28"/>
          <w:highlight w:val="none"/>
          <w:u w:val="none"/>
        </w:rPr>
        <w:instrText xml:space="preserve"> HYPERLINK \l "港澳台人员" </w:instrText>
      </w:r>
      <w:r>
        <w:rPr>
          <w:rFonts w:hint="eastAsia" w:ascii="楷体" w:hAnsi="楷体" w:eastAsia="楷体" w:cs="楷体"/>
          <w:color w:val="auto"/>
          <w:sz w:val="28"/>
          <w:szCs w:val="28"/>
          <w:highlight w:val="none"/>
          <w:u w:val="none"/>
        </w:rPr>
        <w:fldChar w:fldCharType="separate"/>
      </w:r>
      <w:r>
        <w:rPr>
          <w:rStyle w:val="9"/>
          <w:rFonts w:hint="eastAsia" w:ascii="楷体" w:hAnsi="楷体" w:eastAsia="楷体" w:cs="楷体"/>
          <w:sz w:val="28"/>
          <w:szCs w:val="28"/>
          <w:highlight w:val="none"/>
        </w:rPr>
        <w:t>（七）港澳台人员</w:t>
      </w:r>
      <w:r>
        <w:rPr>
          <w:rStyle w:val="9"/>
          <w:rFonts w:ascii="楷体" w:hAnsi="楷体" w:eastAsia="楷体" w:cs="楷体"/>
          <w:sz w:val="28"/>
          <w:szCs w:val="28"/>
          <w:highlight w:val="none"/>
        </w:rPr>
        <w:tab/>
      </w:r>
      <w:r>
        <w:rPr>
          <w:rStyle w:val="9"/>
          <w:rFonts w:ascii="楷体" w:hAnsi="楷体" w:eastAsia="楷体" w:cs="楷体"/>
          <w:sz w:val="28"/>
          <w:szCs w:val="28"/>
          <w:highlight w:val="none"/>
        </w:rPr>
        <w:t>2</w:t>
      </w:r>
      <w:r>
        <w:rPr>
          <w:rStyle w:val="9"/>
          <w:rFonts w:hint="eastAsia" w:ascii="楷体" w:hAnsi="楷体" w:eastAsia="楷体" w:cs="楷体"/>
          <w:sz w:val="28"/>
          <w:szCs w:val="28"/>
          <w:highlight w:val="none"/>
        </w:rPr>
        <w:t>1</w:t>
      </w:r>
      <w:r>
        <w:rPr>
          <w:rFonts w:hint="eastAsia" w:ascii="楷体" w:hAnsi="楷体" w:eastAsia="楷体" w:cs="楷体"/>
          <w:color w:val="auto"/>
          <w:sz w:val="28"/>
          <w:szCs w:val="28"/>
          <w:highlight w:val="none"/>
          <w:u w:val="none"/>
        </w:rPr>
        <w:fldChar w:fldCharType="end"/>
      </w:r>
    </w:p>
    <w:p>
      <w:pPr>
        <w:pStyle w:val="16"/>
        <w:tabs>
          <w:tab w:val="right" w:leader="dot" w:pos="8306"/>
        </w:tabs>
        <w:spacing w:line="420" w:lineRule="exact"/>
        <w:rPr>
          <w:rFonts w:hint="eastAsia" w:ascii="黑体" w:hAnsi="黑体" w:eastAsia="黑体" w:cs="黑体"/>
          <w:sz w:val="28"/>
          <w:szCs w:val="28"/>
          <w:highlight w:val="none"/>
          <w:lang w:val="en-US" w:eastAsia="zh-CN"/>
        </w:rPr>
      </w:pPr>
      <w:r>
        <w:rPr>
          <w:rFonts w:hint="eastAsia" w:ascii="黑体" w:hAnsi="黑体" w:eastAsia="黑体" w:cs="黑体"/>
          <w:color w:val="auto"/>
          <w:sz w:val="28"/>
          <w:szCs w:val="28"/>
          <w:highlight w:val="none"/>
          <w:u w:val="none"/>
        </w:rPr>
        <w:fldChar w:fldCharType="begin"/>
      </w:r>
      <w:r>
        <w:rPr>
          <w:rFonts w:hint="eastAsia" w:ascii="黑体" w:hAnsi="黑体" w:eastAsia="黑体" w:cs="黑体"/>
          <w:color w:val="auto"/>
          <w:sz w:val="28"/>
          <w:szCs w:val="28"/>
          <w:highlight w:val="none"/>
          <w:u w:val="none"/>
        </w:rPr>
        <w:instrText xml:space="preserve"> HYPERLINK \l "疫情防控要求" </w:instrText>
      </w:r>
      <w:r>
        <w:rPr>
          <w:rFonts w:hint="eastAsia" w:ascii="黑体" w:hAnsi="黑体" w:eastAsia="黑体" w:cs="黑体"/>
          <w:color w:val="auto"/>
          <w:sz w:val="28"/>
          <w:szCs w:val="28"/>
          <w:highlight w:val="none"/>
          <w:u w:val="none"/>
        </w:rPr>
        <w:fldChar w:fldCharType="separate"/>
      </w:r>
      <w:r>
        <w:rPr>
          <w:rStyle w:val="9"/>
          <w:rFonts w:hint="eastAsia" w:ascii="黑体" w:hAnsi="黑体" w:eastAsia="黑体" w:cs="黑体"/>
          <w:sz w:val="28"/>
          <w:szCs w:val="28"/>
          <w:highlight w:val="none"/>
        </w:rPr>
        <w:t>十</w:t>
      </w:r>
      <w:r>
        <w:rPr>
          <w:rStyle w:val="9"/>
          <w:rFonts w:hint="eastAsia" w:ascii="黑体" w:hAnsi="黑体" w:eastAsia="黑体" w:cs="黑体"/>
          <w:sz w:val="28"/>
          <w:szCs w:val="28"/>
          <w:highlight w:val="none"/>
          <w:lang w:eastAsia="zh-CN"/>
        </w:rPr>
        <w:t>四</w:t>
      </w:r>
      <w:r>
        <w:rPr>
          <w:rStyle w:val="9"/>
          <w:rFonts w:hint="eastAsia" w:ascii="黑体" w:hAnsi="黑体" w:eastAsia="黑体" w:cs="黑体"/>
          <w:sz w:val="28"/>
          <w:szCs w:val="28"/>
          <w:highlight w:val="none"/>
        </w:rPr>
        <w:t>、疫情防控要求</w:t>
      </w:r>
      <w:r>
        <w:rPr>
          <w:rStyle w:val="9"/>
          <w:rFonts w:ascii="黑体" w:hAnsi="黑体" w:eastAsia="黑体" w:cs="黑体"/>
          <w:sz w:val="28"/>
          <w:szCs w:val="28"/>
          <w:highlight w:val="none"/>
        </w:rPr>
        <w:tab/>
      </w:r>
      <w:r>
        <w:rPr>
          <w:rStyle w:val="9"/>
          <w:rFonts w:hint="eastAsia" w:ascii="黑体" w:hAnsi="黑体" w:eastAsia="黑体" w:cs="黑体"/>
          <w:sz w:val="28"/>
          <w:szCs w:val="28"/>
          <w:highlight w:val="none"/>
          <w:lang w:val="en-US" w:eastAsia="zh-CN"/>
        </w:rPr>
        <w:t>21</w:t>
      </w:r>
      <w:r>
        <w:rPr>
          <w:rFonts w:hint="eastAsia" w:ascii="黑体" w:hAnsi="黑体" w:eastAsia="黑体" w:cs="黑体"/>
          <w:color w:val="auto"/>
          <w:sz w:val="28"/>
          <w:szCs w:val="28"/>
          <w:highlight w:val="none"/>
          <w:u w:val="none"/>
        </w:rPr>
        <w:fldChar w:fldCharType="end"/>
      </w:r>
    </w:p>
    <w:p>
      <w:pPr>
        <w:pStyle w:val="17"/>
        <w:tabs>
          <w:tab w:val="right" w:leader="dot" w:pos="8306"/>
        </w:tabs>
        <w:spacing w:line="420" w:lineRule="exact"/>
        <w:ind w:left="420"/>
        <w:rPr>
          <w:rFonts w:hint="eastAsia" w:ascii="楷体" w:hAnsi="楷体" w:eastAsia="楷体" w:cs="楷体"/>
          <w:sz w:val="28"/>
          <w:szCs w:val="28"/>
          <w:highlight w:val="none"/>
          <w:lang w:val="en-US" w:eastAsia="zh-CN"/>
        </w:rPr>
      </w:pPr>
      <w:r>
        <w:rPr>
          <w:rFonts w:hint="eastAsia" w:ascii="楷体" w:hAnsi="楷体" w:eastAsia="楷体" w:cs="楷体"/>
          <w:color w:val="auto"/>
          <w:sz w:val="28"/>
          <w:szCs w:val="28"/>
          <w:highlight w:val="none"/>
          <w:u w:val="none"/>
        </w:rPr>
        <w:fldChar w:fldCharType="begin"/>
      </w:r>
      <w:r>
        <w:rPr>
          <w:rFonts w:hint="eastAsia" w:ascii="楷体" w:hAnsi="楷体" w:eastAsia="楷体" w:cs="楷体"/>
          <w:color w:val="auto"/>
          <w:sz w:val="28"/>
          <w:szCs w:val="28"/>
          <w:highlight w:val="none"/>
          <w:u w:val="none"/>
        </w:rPr>
        <w:instrText xml:space="preserve"> HYPERLINK \l "_（一）境内考生防疫要求" </w:instrText>
      </w:r>
      <w:r>
        <w:rPr>
          <w:rFonts w:hint="eastAsia" w:ascii="楷体" w:hAnsi="楷体" w:eastAsia="楷体" w:cs="楷体"/>
          <w:color w:val="auto"/>
          <w:sz w:val="28"/>
          <w:szCs w:val="28"/>
          <w:highlight w:val="none"/>
          <w:u w:val="none"/>
        </w:rPr>
        <w:fldChar w:fldCharType="separate"/>
      </w:r>
      <w:r>
        <w:rPr>
          <w:rStyle w:val="9"/>
          <w:rFonts w:hint="eastAsia" w:ascii="楷体" w:hAnsi="楷体" w:eastAsia="楷体" w:cs="楷体"/>
          <w:sz w:val="28"/>
          <w:szCs w:val="28"/>
          <w:highlight w:val="none"/>
        </w:rPr>
        <w:t>（一）境内考生防疫要求</w:t>
      </w:r>
      <w:r>
        <w:rPr>
          <w:rStyle w:val="9"/>
          <w:rFonts w:ascii="楷体" w:hAnsi="楷体" w:eastAsia="楷体" w:cs="楷体"/>
          <w:sz w:val="28"/>
          <w:szCs w:val="28"/>
          <w:highlight w:val="none"/>
        </w:rPr>
        <w:tab/>
      </w:r>
      <w:r>
        <w:rPr>
          <w:rStyle w:val="9"/>
          <w:rFonts w:hint="eastAsia" w:ascii="楷体" w:hAnsi="楷体" w:eastAsia="楷体" w:cs="楷体"/>
          <w:sz w:val="28"/>
          <w:szCs w:val="28"/>
          <w:highlight w:val="none"/>
          <w:lang w:val="en-US" w:eastAsia="zh-CN"/>
        </w:rPr>
        <w:t>21</w:t>
      </w:r>
      <w:r>
        <w:rPr>
          <w:rFonts w:hint="eastAsia" w:ascii="楷体" w:hAnsi="楷体" w:eastAsia="楷体" w:cs="楷体"/>
          <w:color w:val="auto"/>
          <w:sz w:val="28"/>
          <w:szCs w:val="28"/>
          <w:highlight w:val="none"/>
          <w:u w:val="none"/>
        </w:rPr>
        <w:fldChar w:fldCharType="end"/>
      </w:r>
    </w:p>
    <w:p>
      <w:pPr>
        <w:pStyle w:val="17"/>
        <w:tabs>
          <w:tab w:val="right" w:leader="dot" w:pos="8306"/>
        </w:tabs>
        <w:spacing w:line="420" w:lineRule="exact"/>
        <w:ind w:left="420"/>
        <w:rPr>
          <w:rFonts w:hint="eastAsia" w:ascii="楷体" w:hAnsi="楷体" w:eastAsia="楷体" w:cs="楷体"/>
          <w:sz w:val="28"/>
          <w:szCs w:val="28"/>
          <w:highlight w:val="none"/>
          <w:lang w:val="en-US" w:eastAsia="zh-CN"/>
        </w:rPr>
      </w:pPr>
      <w:r>
        <w:rPr>
          <w:rFonts w:hint="eastAsia" w:ascii="楷体" w:hAnsi="楷体" w:eastAsia="楷体" w:cs="楷体"/>
          <w:color w:val="auto"/>
          <w:sz w:val="28"/>
          <w:szCs w:val="28"/>
          <w:highlight w:val="none"/>
          <w:u w:val="none"/>
        </w:rPr>
        <w:fldChar w:fldCharType="begin"/>
      </w:r>
      <w:r>
        <w:rPr>
          <w:rFonts w:hint="eastAsia" w:ascii="楷体" w:hAnsi="楷体" w:eastAsia="楷体" w:cs="楷体"/>
          <w:color w:val="auto"/>
          <w:sz w:val="28"/>
          <w:szCs w:val="28"/>
          <w:highlight w:val="none"/>
          <w:u w:val="none"/>
        </w:rPr>
        <w:instrText xml:space="preserve"> HYPERLINK \l "（二）境外考生防疫要求" </w:instrText>
      </w:r>
      <w:r>
        <w:rPr>
          <w:rFonts w:hint="eastAsia" w:ascii="楷体" w:hAnsi="楷体" w:eastAsia="楷体" w:cs="楷体"/>
          <w:color w:val="auto"/>
          <w:sz w:val="28"/>
          <w:szCs w:val="28"/>
          <w:highlight w:val="none"/>
          <w:u w:val="none"/>
        </w:rPr>
        <w:fldChar w:fldCharType="separate"/>
      </w:r>
      <w:r>
        <w:rPr>
          <w:rStyle w:val="9"/>
          <w:rFonts w:hint="eastAsia" w:ascii="楷体" w:hAnsi="楷体" w:eastAsia="楷体" w:cs="楷体"/>
          <w:sz w:val="28"/>
          <w:szCs w:val="28"/>
          <w:highlight w:val="none"/>
        </w:rPr>
        <w:t>（</w:t>
      </w:r>
      <w:r>
        <w:rPr>
          <w:rStyle w:val="9"/>
          <w:rFonts w:hint="eastAsia" w:ascii="楷体" w:hAnsi="楷体" w:eastAsia="楷体" w:cs="楷体"/>
          <w:sz w:val="28"/>
          <w:szCs w:val="28"/>
          <w:highlight w:val="none"/>
          <w:lang w:eastAsia="zh-CN"/>
        </w:rPr>
        <w:t>二</w:t>
      </w:r>
      <w:r>
        <w:rPr>
          <w:rStyle w:val="9"/>
          <w:rFonts w:hint="eastAsia" w:ascii="楷体" w:hAnsi="楷体" w:eastAsia="楷体" w:cs="楷体"/>
          <w:sz w:val="28"/>
          <w:szCs w:val="28"/>
          <w:highlight w:val="none"/>
        </w:rPr>
        <w:t>）境</w:t>
      </w:r>
      <w:r>
        <w:rPr>
          <w:rStyle w:val="9"/>
          <w:rFonts w:hint="eastAsia" w:ascii="楷体" w:hAnsi="楷体" w:eastAsia="楷体" w:cs="楷体"/>
          <w:sz w:val="28"/>
          <w:szCs w:val="28"/>
          <w:highlight w:val="none"/>
          <w:lang w:eastAsia="zh-CN"/>
        </w:rPr>
        <w:t>外</w:t>
      </w:r>
      <w:r>
        <w:rPr>
          <w:rStyle w:val="9"/>
          <w:rFonts w:hint="eastAsia" w:ascii="楷体" w:hAnsi="楷体" w:eastAsia="楷体" w:cs="楷体"/>
          <w:sz w:val="28"/>
          <w:szCs w:val="28"/>
          <w:highlight w:val="none"/>
        </w:rPr>
        <w:t>考生防疫要求</w:t>
      </w:r>
      <w:r>
        <w:rPr>
          <w:rStyle w:val="9"/>
          <w:rFonts w:ascii="楷体" w:hAnsi="楷体" w:eastAsia="楷体" w:cs="楷体"/>
          <w:sz w:val="28"/>
          <w:szCs w:val="28"/>
          <w:highlight w:val="none"/>
        </w:rPr>
        <w:tab/>
      </w:r>
      <w:r>
        <w:rPr>
          <w:rStyle w:val="9"/>
          <w:rFonts w:hint="eastAsia" w:ascii="楷体" w:hAnsi="楷体" w:eastAsia="楷体" w:cs="楷体"/>
          <w:sz w:val="28"/>
          <w:szCs w:val="28"/>
          <w:highlight w:val="none"/>
          <w:lang w:val="en-US" w:eastAsia="zh-CN"/>
        </w:rPr>
        <w:t>22</w:t>
      </w:r>
      <w:r>
        <w:rPr>
          <w:rFonts w:hint="eastAsia" w:ascii="楷体" w:hAnsi="楷体" w:eastAsia="楷体" w:cs="楷体"/>
          <w:color w:val="auto"/>
          <w:sz w:val="28"/>
          <w:szCs w:val="28"/>
          <w:highlight w:val="none"/>
          <w:u w:val="none"/>
        </w:rPr>
        <w:fldChar w:fldCharType="end"/>
      </w:r>
    </w:p>
    <w:p>
      <w:pPr>
        <w:widowControl/>
        <w:spacing w:line="420" w:lineRule="exact"/>
        <w:rPr>
          <w:rFonts w:ascii="仿宋_GB2312" w:eastAsia="仿宋_GB2312"/>
          <w:sz w:val="32"/>
          <w:szCs w:val="32"/>
          <w:highlight w:val="none"/>
        </w:rPr>
      </w:pPr>
      <w:r>
        <w:rPr>
          <w:rFonts w:ascii="黑体" w:hAnsi="黑体" w:eastAsia="黑体" w:cs="黑体"/>
          <w:sz w:val="28"/>
          <w:szCs w:val="28"/>
          <w:highlight w:val="none"/>
        </w:rPr>
        <w:fldChar w:fldCharType="end"/>
      </w:r>
    </w:p>
    <w:p>
      <w:pPr>
        <w:ind w:firstLine="640" w:firstLineChars="200"/>
        <w:rPr>
          <w:rFonts w:ascii="仿宋_GB2312" w:eastAsia="仿宋_GB2312"/>
          <w:sz w:val="32"/>
          <w:szCs w:val="32"/>
          <w:highlight w:val="none"/>
        </w:rPr>
      </w:pPr>
    </w:p>
    <w:p>
      <w:pPr>
        <w:ind w:firstLine="640" w:firstLineChars="200"/>
        <w:rPr>
          <w:rFonts w:ascii="仿宋_GB2312" w:eastAsia="仿宋_GB2312"/>
          <w:sz w:val="32"/>
          <w:szCs w:val="32"/>
          <w:highlight w:val="none"/>
        </w:rPr>
      </w:pPr>
    </w:p>
    <w:p>
      <w:pPr>
        <w:ind w:firstLine="640" w:firstLineChars="200"/>
        <w:rPr>
          <w:rFonts w:ascii="仿宋_GB2312" w:eastAsia="仿宋_GB2312"/>
          <w:sz w:val="32"/>
          <w:szCs w:val="32"/>
          <w:highlight w:val="none"/>
        </w:rPr>
      </w:pPr>
    </w:p>
    <w:p>
      <w:pPr>
        <w:ind w:firstLine="640" w:firstLineChars="200"/>
        <w:rPr>
          <w:rFonts w:ascii="仿宋_GB2312" w:eastAsia="仿宋_GB2312"/>
          <w:sz w:val="32"/>
          <w:szCs w:val="32"/>
          <w:highlight w:val="none"/>
        </w:rPr>
      </w:pPr>
    </w:p>
    <w:p>
      <w:pPr>
        <w:ind w:firstLine="640" w:firstLineChars="200"/>
        <w:rPr>
          <w:rFonts w:ascii="仿宋_GB2312" w:eastAsia="仿宋_GB2312"/>
          <w:sz w:val="32"/>
          <w:szCs w:val="32"/>
          <w:highlight w:val="none"/>
        </w:rPr>
      </w:pPr>
    </w:p>
    <w:p>
      <w:pPr>
        <w:ind w:firstLine="640" w:firstLineChars="200"/>
        <w:rPr>
          <w:rFonts w:ascii="仿宋_GB2312" w:eastAsia="仿宋_GB2312"/>
          <w:sz w:val="32"/>
          <w:szCs w:val="32"/>
          <w:highlight w:val="none"/>
        </w:rPr>
        <w:sectPr>
          <w:pgSz w:w="11906" w:h="16838"/>
          <w:pgMar w:top="1440" w:right="1800" w:bottom="1440" w:left="1800" w:header="851" w:footer="992" w:gutter="0"/>
          <w:pgNumType w:start="1"/>
          <w:cols w:space="425" w:num="1"/>
          <w:docGrid w:type="lines" w:linePitch="312" w:charSpace="0"/>
        </w:sectPr>
      </w:pPr>
    </w:p>
    <w:p>
      <w:pPr>
        <w:ind w:firstLine="640" w:firstLineChars="200"/>
        <w:rPr>
          <w:rFonts w:ascii="仿宋_GB2312" w:eastAsia="仿宋_GB2312"/>
          <w:b/>
          <w:sz w:val="32"/>
          <w:szCs w:val="32"/>
          <w:highlight w:val="none"/>
        </w:rPr>
      </w:pPr>
      <w:r>
        <w:rPr>
          <w:rFonts w:hint="eastAsia" w:ascii="仿宋_GB2312" w:eastAsia="仿宋_GB2312"/>
          <w:sz w:val="32"/>
          <w:szCs w:val="32"/>
          <w:highlight w:val="none"/>
        </w:rPr>
        <w:t>本指南仅适用于</w:t>
      </w:r>
      <w:r>
        <w:rPr>
          <w:rFonts w:hint="eastAsia" w:ascii="仿宋_GB2312" w:eastAsia="仿宋_GB2312"/>
          <w:sz w:val="32"/>
          <w:szCs w:val="32"/>
          <w:highlight w:val="none"/>
          <w:lang w:eastAsia="zh-CN"/>
        </w:rPr>
        <w:t>厦门医学院附属第二医院、附属口腔医院</w:t>
      </w:r>
      <w:r>
        <w:rPr>
          <w:rFonts w:hint="eastAsia" w:ascii="仿宋_GB2312" w:eastAsia="仿宋_GB2312"/>
          <w:sz w:val="32"/>
          <w:szCs w:val="32"/>
          <w:highlight w:val="none"/>
        </w:rPr>
        <w:t>补充编</w:t>
      </w:r>
      <w:r>
        <w:rPr>
          <w:rFonts w:hint="eastAsia" w:ascii="仿宋_GB2312" w:eastAsia="仿宋_GB2312"/>
          <w:sz w:val="32"/>
          <w:szCs w:val="32"/>
          <w:highlight w:val="none"/>
          <w:lang w:eastAsia="zh-CN"/>
        </w:rPr>
        <w:t>外</w:t>
      </w:r>
      <w:r>
        <w:rPr>
          <w:rFonts w:hint="eastAsia" w:ascii="仿宋_GB2312" w:eastAsia="仿宋_GB2312"/>
          <w:sz w:val="32"/>
          <w:szCs w:val="32"/>
          <w:highlight w:val="none"/>
        </w:rPr>
        <w:t>工作人员</w:t>
      </w: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考试</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2020年7月</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，由</w:t>
      </w:r>
      <w:r>
        <w:rPr>
          <w:rFonts w:hint="eastAsia" w:ascii="仿宋_GB2312" w:eastAsia="仿宋_GB2312"/>
          <w:sz w:val="32"/>
          <w:szCs w:val="32"/>
          <w:highlight w:val="none"/>
          <w:lang w:eastAsia="zh-CN"/>
        </w:rPr>
        <w:t>厦门医学院</w:t>
      </w:r>
      <w:r>
        <w:rPr>
          <w:rFonts w:hint="eastAsia" w:ascii="仿宋_GB2312" w:eastAsia="仿宋_GB2312"/>
          <w:sz w:val="32"/>
          <w:szCs w:val="32"/>
          <w:highlight w:val="none"/>
        </w:rPr>
        <w:t>解释。</w:t>
      </w:r>
    </w:p>
    <w:p>
      <w:pPr>
        <w:ind w:firstLine="640" w:firstLineChars="200"/>
        <w:outlineLvl w:val="0"/>
        <w:rPr>
          <w:rFonts w:ascii="黑体" w:hAnsi="黑体" w:eastAsia="黑体"/>
          <w:sz w:val="32"/>
          <w:szCs w:val="32"/>
          <w:highlight w:val="none"/>
        </w:rPr>
      </w:pPr>
      <w:bookmarkStart w:id="1" w:name="_Toc28623"/>
      <w:r>
        <w:rPr>
          <w:rFonts w:hint="eastAsia" w:ascii="黑体" w:hAnsi="黑体" w:eastAsia="黑体"/>
          <w:sz w:val="32"/>
          <w:szCs w:val="32"/>
          <w:highlight w:val="none"/>
        </w:rPr>
        <w:t>一、基本条件</w:t>
      </w:r>
      <w:bookmarkEnd w:id="1"/>
    </w:p>
    <w:p>
      <w:pPr>
        <w:ind w:firstLine="640" w:firstLineChars="200"/>
        <w:rPr>
          <w:rFonts w:ascii="仿宋_GB2312" w:eastAsia="仿宋_GB2312"/>
          <w:sz w:val="32"/>
          <w:szCs w:val="32"/>
          <w:highlight w:val="none"/>
        </w:rPr>
      </w:pPr>
      <w:bookmarkStart w:id="2" w:name="_Toc9119_WPSOffice_Level2"/>
      <w:bookmarkStart w:id="3" w:name="_Toc17638_WPSOffice_Level2"/>
      <w:bookmarkStart w:id="4" w:name="_Toc29243_WPSOffice_Level2"/>
      <w:bookmarkStart w:id="5" w:name="_Toc19262_WPSOffice_Level2"/>
      <w:r>
        <w:rPr>
          <w:rFonts w:hint="eastAsia" w:ascii="仿宋_GB2312" w:eastAsia="仿宋_GB2312"/>
          <w:sz w:val="32"/>
          <w:szCs w:val="32"/>
          <w:highlight w:val="none"/>
        </w:rPr>
        <w:t>（一）具有中华人民共和国国籍；</w:t>
      </w:r>
      <w:bookmarkEnd w:id="2"/>
      <w:bookmarkEnd w:id="3"/>
      <w:bookmarkEnd w:id="4"/>
      <w:bookmarkEnd w:id="5"/>
    </w:p>
    <w:p>
      <w:pPr>
        <w:ind w:firstLine="640" w:firstLineChars="200"/>
        <w:rPr>
          <w:rFonts w:ascii="仿宋_GB2312" w:eastAsia="仿宋_GB2312"/>
          <w:sz w:val="32"/>
          <w:szCs w:val="32"/>
          <w:highlight w:val="none"/>
        </w:rPr>
      </w:pPr>
      <w:bookmarkStart w:id="6" w:name="_Toc17350_WPSOffice_Level2"/>
      <w:bookmarkStart w:id="7" w:name="_Toc4207_WPSOffice_Level2"/>
      <w:bookmarkStart w:id="8" w:name="_Toc12392_WPSOffice_Level2"/>
      <w:bookmarkStart w:id="9" w:name="_Toc11941_WPSOffice_Level2"/>
      <w:r>
        <w:rPr>
          <w:rFonts w:hint="eastAsia" w:ascii="仿宋_GB2312" w:eastAsia="仿宋_GB2312"/>
          <w:sz w:val="32"/>
          <w:szCs w:val="32"/>
          <w:highlight w:val="none"/>
        </w:rPr>
        <w:t>（二）拥护中华人民共和国宪法；</w:t>
      </w:r>
      <w:bookmarkEnd w:id="6"/>
      <w:bookmarkEnd w:id="7"/>
      <w:bookmarkEnd w:id="8"/>
      <w:bookmarkEnd w:id="9"/>
    </w:p>
    <w:p>
      <w:pPr>
        <w:ind w:firstLine="640" w:firstLineChars="200"/>
        <w:rPr>
          <w:rFonts w:ascii="仿宋_GB2312" w:eastAsia="仿宋_GB2312"/>
          <w:sz w:val="32"/>
          <w:szCs w:val="32"/>
          <w:highlight w:val="none"/>
        </w:rPr>
      </w:pPr>
      <w:bookmarkStart w:id="10" w:name="_Toc6014_WPSOffice_Level2"/>
      <w:bookmarkStart w:id="11" w:name="_Toc20094_WPSOffice_Level2"/>
      <w:bookmarkStart w:id="12" w:name="_Toc7847_WPSOffice_Level2"/>
      <w:bookmarkStart w:id="13" w:name="_Toc9634_WPSOffice_Level2"/>
      <w:r>
        <w:rPr>
          <w:rFonts w:hint="eastAsia" w:ascii="仿宋_GB2312" w:eastAsia="仿宋_GB2312"/>
          <w:sz w:val="32"/>
          <w:szCs w:val="32"/>
          <w:highlight w:val="none"/>
        </w:rPr>
        <w:t>（三）拥护中国共产党的领导；</w:t>
      </w:r>
      <w:bookmarkEnd w:id="10"/>
      <w:bookmarkEnd w:id="11"/>
      <w:bookmarkEnd w:id="12"/>
      <w:bookmarkEnd w:id="13"/>
    </w:p>
    <w:p>
      <w:pPr>
        <w:ind w:firstLine="640" w:firstLineChars="200"/>
        <w:rPr>
          <w:rFonts w:ascii="仿宋_GB2312" w:eastAsia="仿宋_GB2312"/>
          <w:sz w:val="32"/>
          <w:szCs w:val="32"/>
          <w:highlight w:val="none"/>
        </w:rPr>
      </w:pPr>
      <w:bookmarkStart w:id="14" w:name="_Toc6870_WPSOffice_Level2"/>
      <w:bookmarkStart w:id="15" w:name="_Toc13849_WPSOffice_Level2"/>
      <w:bookmarkStart w:id="16" w:name="_Toc30877_WPSOffice_Level2"/>
      <w:bookmarkStart w:id="17" w:name="_Toc27016_WPSOffice_Level2"/>
      <w:r>
        <w:rPr>
          <w:rFonts w:hint="eastAsia" w:ascii="仿宋_GB2312" w:eastAsia="仿宋_GB2312"/>
          <w:sz w:val="32"/>
          <w:szCs w:val="32"/>
          <w:highlight w:val="none"/>
        </w:rPr>
        <w:t>（四）具有良好的品行和正常履行岗位职责的身体条件</w:t>
      </w:r>
      <w:r>
        <w:rPr>
          <w:rFonts w:ascii="仿宋_GB2312" w:eastAsia="仿宋_GB2312"/>
          <w:sz w:val="32"/>
          <w:szCs w:val="32"/>
          <w:highlight w:val="none"/>
        </w:rPr>
        <w:t>;</w:t>
      </w:r>
      <w:bookmarkEnd w:id="14"/>
      <w:bookmarkEnd w:id="15"/>
      <w:bookmarkEnd w:id="16"/>
      <w:bookmarkEnd w:id="17"/>
    </w:p>
    <w:p>
      <w:pPr>
        <w:ind w:firstLine="640" w:firstLineChars="200"/>
        <w:rPr>
          <w:rFonts w:ascii="仿宋_GB2312" w:eastAsia="仿宋_GB2312"/>
          <w:sz w:val="32"/>
          <w:szCs w:val="32"/>
          <w:highlight w:val="none"/>
        </w:rPr>
      </w:pPr>
      <w:bookmarkStart w:id="18" w:name="_Toc4758_WPSOffice_Level2"/>
      <w:bookmarkStart w:id="19" w:name="_Toc10788_WPSOffice_Level2"/>
      <w:bookmarkStart w:id="20" w:name="_Toc19929_WPSOffice_Level2"/>
      <w:bookmarkStart w:id="21" w:name="_Toc26060_WPSOffice_Level2"/>
      <w:r>
        <w:rPr>
          <w:rFonts w:hint="eastAsia" w:ascii="仿宋_GB2312" w:eastAsia="仿宋_GB2312"/>
          <w:sz w:val="32"/>
          <w:szCs w:val="32"/>
          <w:highlight w:val="none"/>
        </w:rPr>
        <w:t>（五）具备</w:t>
      </w: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岗位设置的资格条件。</w:t>
      </w:r>
      <w:bookmarkEnd w:id="18"/>
      <w:bookmarkEnd w:id="19"/>
      <w:bookmarkEnd w:id="20"/>
      <w:bookmarkEnd w:id="21"/>
    </w:p>
    <w:p>
      <w:pPr>
        <w:ind w:firstLine="640" w:firstLineChars="200"/>
        <w:outlineLvl w:val="0"/>
        <w:rPr>
          <w:rFonts w:ascii="黑体" w:hAnsi="黑体" w:eastAsia="黑体"/>
          <w:sz w:val="32"/>
          <w:szCs w:val="32"/>
          <w:highlight w:val="none"/>
        </w:rPr>
      </w:pPr>
      <w:bookmarkStart w:id="22" w:name="_Toc12538"/>
      <w:bookmarkStart w:id="23" w:name="_Toc5197"/>
      <w:r>
        <w:rPr>
          <w:rFonts w:hint="eastAsia" w:ascii="黑体" w:hAnsi="黑体" w:eastAsia="黑体"/>
          <w:sz w:val="32"/>
          <w:szCs w:val="32"/>
          <w:highlight w:val="none"/>
        </w:rPr>
        <w:t>二、不得报考或取消报考（</w:t>
      </w:r>
      <w:r>
        <w:rPr>
          <w:rFonts w:hint="eastAsia" w:ascii="黑体" w:hAnsi="黑体" w:eastAsia="黑体"/>
          <w:sz w:val="32"/>
          <w:szCs w:val="32"/>
          <w:highlight w:val="none"/>
          <w:lang w:eastAsia="zh-CN"/>
        </w:rPr>
        <w:t>录取</w:t>
      </w:r>
      <w:r>
        <w:rPr>
          <w:rFonts w:hint="eastAsia" w:ascii="黑体" w:hAnsi="黑体" w:eastAsia="黑体"/>
          <w:sz w:val="32"/>
          <w:szCs w:val="32"/>
          <w:highlight w:val="none"/>
        </w:rPr>
        <w:t>）资格的情形</w:t>
      </w:r>
      <w:bookmarkEnd w:id="22"/>
      <w:bookmarkEnd w:id="23"/>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（一）曾因犯罪受过刑事处罚的；</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（二）曾被开除公职的；</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（三）公务员或参照公务员法管理机关（单位）工作人员（以下简称“参公人员”）被辞退未满</w:t>
      </w:r>
      <w:r>
        <w:rPr>
          <w:rFonts w:ascii="仿宋_GB2312" w:eastAsia="仿宋_GB2312"/>
          <w:sz w:val="32"/>
          <w:szCs w:val="32"/>
          <w:highlight w:val="none"/>
        </w:rPr>
        <w:t>5</w:t>
      </w:r>
      <w:r>
        <w:rPr>
          <w:rFonts w:hint="eastAsia" w:ascii="仿宋_GB2312" w:eastAsia="仿宋_GB2312"/>
          <w:sz w:val="32"/>
          <w:szCs w:val="32"/>
          <w:highlight w:val="none"/>
        </w:rPr>
        <w:t>年的；</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（四）考录（不含转任）后服务年限（含试用期）不满</w:t>
      </w:r>
      <w:r>
        <w:rPr>
          <w:rFonts w:ascii="仿宋_GB2312" w:eastAsia="仿宋_GB2312"/>
          <w:sz w:val="32"/>
          <w:szCs w:val="32"/>
          <w:highlight w:val="none"/>
        </w:rPr>
        <w:t>2</w:t>
      </w:r>
      <w:r>
        <w:rPr>
          <w:rFonts w:hint="eastAsia" w:ascii="仿宋_GB2312" w:eastAsia="仿宋_GB2312"/>
          <w:sz w:val="32"/>
          <w:szCs w:val="32"/>
          <w:highlight w:val="none"/>
        </w:rPr>
        <w:t>年以及未达到与当地公务员主管部门或单位组织人事部门约定服务年限的公务员和参公人员；</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（五）报名时不是试用期内公务员或参公人员，但在报名之后、</w:t>
      </w:r>
      <w:r>
        <w:rPr>
          <w:rFonts w:hint="eastAsia" w:ascii="仿宋_GB2312" w:eastAsia="仿宋_GB2312"/>
          <w:sz w:val="32"/>
          <w:szCs w:val="32"/>
          <w:highlight w:val="none"/>
          <w:lang w:eastAsia="zh-CN"/>
        </w:rPr>
        <w:t>录取</w:t>
      </w:r>
      <w:r>
        <w:rPr>
          <w:rFonts w:hint="eastAsia" w:ascii="仿宋_GB2312" w:eastAsia="仿宋_GB2312"/>
          <w:sz w:val="32"/>
          <w:szCs w:val="32"/>
          <w:highlight w:val="none"/>
        </w:rPr>
        <w:t>之前成为试用期内公务员或参公人员的，取消其考试或</w:t>
      </w:r>
      <w:r>
        <w:rPr>
          <w:rFonts w:hint="eastAsia" w:ascii="仿宋_GB2312" w:eastAsia="仿宋_GB2312"/>
          <w:sz w:val="32"/>
          <w:szCs w:val="32"/>
          <w:highlight w:val="none"/>
          <w:lang w:eastAsia="zh-CN"/>
        </w:rPr>
        <w:t>录取</w:t>
      </w:r>
      <w:r>
        <w:rPr>
          <w:rFonts w:hint="eastAsia" w:ascii="仿宋_GB2312" w:eastAsia="仿宋_GB2312"/>
          <w:sz w:val="32"/>
          <w:szCs w:val="32"/>
          <w:highlight w:val="none"/>
        </w:rPr>
        <w:t>资格；</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（六）现役军人；</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（七）普通高等院校全日制在读的非应届毕业生（即</w:t>
      </w:r>
      <w:r>
        <w:rPr>
          <w:rFonts w:ascii="仿宋_GB2312" w:eastAsia="仿宋_GB2312"/>
          <w:sz w:val="32"/>
          <w:szCs w:val="32"/>
          <w:highlight w:val="none"/>
        </w:rPr>
        <w:t>2021</w:t>
      </w:r>
      <w:r>
        <w:rPr>
          <w:rFonts w:hint="eastAsia" w:ascii="仿宋_GB2312" w:eastAsia="仿宋_GB2312"/>
          <w:sz w:val="32"/>
          <w:szCs w:val="32"/>
          <w:highlight w:val="none"/>
        </w:rPr>
        <w:t>年及以后才学业期满的全日制普通教育学生）；</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（八）涉嫌违法犯罪正在接受司法调查尚未做出结论的，或尚未解除党（政）纪处分的，或正在接受纪律审查的</w:t>
      </w:r>
      <w:r>
        <w:rPr>
          <w:rFonts w:ascii="仿宋_GB2312" w:eastAsia="仿宋_GB2312"/>
          <w:sz w:val="32"/>
          <w:szCs w:val="32"/>
          <w:highlight w:val="none"/>
        </w:rPr>
        <w:t xml:space="preserve">; </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（九）后即构成应回避关系的；</w:t>
      </w:r>
      <w:r>
        <w:rPr>
          <w:rFonts w:ascii="仿宋_GB2312" w:eastAsia="仿宋_GB2312"/>
          <w:sz w:val="32"/>
          <w:szCs w:val="32"/>
          <w:highlight w:val="none"/>
        </w:rPr>
        <w:t xml:space="preserve"> </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（十）根据原福建省卫生计生委等六部门《关于印发</w:t>
      </w:r>
      <w:r>
        <w:rPr>
          <w:rFonts w:ascii="仿宋_GB2312" w:eastAsia="仿宋_GB2312"/>
          <w:sz w:val="32"/>
          <w:szCs w:val="32"/>
          <w:highlight w:val="none"/>
        </w:rPr>
        <w:t>&lt;</w:t>
      </w:r>
      <w:r>
        <w:rPr>
          <w:rFonts w:hint="eastAsia" w:ascii="仿宋_GB2312" w:eastAsia="仿宋_GB2312"/>
          <w:sz w:val="32"/>
          <w:szCs w:val="32"/>
          <w:highlight w:val="none"/>
        </w:rPr>
        <w:t>完善福建省住院医师规范化培训制度的实施意见</w:t>
      </w:r>
      <w:r>
        <w:rPr>
          <w:rFonts w:ascii="仿宋_GB2312" w:eastAsia="仿宋_GB2312"/>
          <w:sz w:val="32"/>
          <w:szCs w:val="32"/>
          <w:highlight w:val="none"/>
        </w:rPr>
        <w:t>&gt;</w:t>
      </w:r>
      <w:r>
        <w:rPr>
          <w:rFonts w:hint="eastAsia" w:ascii="仿宋_GB2312" w:eastAsia="仿宋_GB2312"/>
          <w:sz w:val="32"/>
          <w:szCs w:val="32"/>
          <w:highlight w:val="none"/>
        </w:rPr>
        <w:t>的通知》（闽卫科教〔</w:t>
      </w:r>
      <w:r>
        <w:rPr>
          <w:rFonts w:ascii="仿宋_GB2312" w:eastAsia="仿宋_GB2312"/>
          <w:sz w:val="32"/>
          <w:szCs w:val="32"/>
          <w:highlight w:val="none"/>
        </w:rPr>
        <w:t>2015</w:t>
      </w:r>
      <w:r>
        <w:rPr>
          <w:rFonts w:hint="eastAsia" w:ascii="仿宋_GB2312" w:eastAsia="仿宋_GB2312"/>
          <w:sz w:val="32"/>
          <w:szCs w:val="32"/>
          <w:highlight w:val="none"/>
        </w:rPr>
        <w:t>〕</w:t>
      </w:r>
      <w:r>
        <w:rPr>
          <w:rFonts w:ascii="仿宋_GB2312" w:eastAsia="仿宋_GB2312"/>
          <w:sz w:val="32"/>
          <w:szCs w:val="32"/>
          <w:highlight w:val="none"/>
        </w:rPr>
        <w:t>107</w:t>
      </w:r>
      <w:r>
        <w:rPr>
          <w:rFonts w:hint="eastAsia" w:ascii="仿宋_GB2312" w:eastAsia="仿宋_GB2312"/>
          <w:sz w:val="32"/>
          <w:szCs w:val="32"/>
          <w:highlight w:val="none"/>
        </w:rPr>
        <w:t>号）和《福建省卫生计生委关于印发福建省住院医师规范化培训实施方案的通知》（闽卫科教〔</w:t>
      </w:r>
      <w:r>
        <w:rPr>
          <w:rFonts w:ascii="仿宋_GB2312" w:eastAsia="仿宋_GB2312"/>
          <w:sz w:val="32"/>
          <w:szCs w:val="32"/>
          <w:highlight w:val="none"/>
        </w:rPr>
        <w:t>2016</w:t>
      </w:r>
      <w:r>
        <w:rPr>
          <w:rFonts w:hint="eastAsia" w:ascii="仿宋_GB2312" w:eastAsia="仿宋_GB2312"/>
          <w:sz w:val="32"/>
          <w:szCs w:val="32"/>
          <w:highlight w:val="none"/>
        </w:rPr>
        <w:t>〕</w:t>
      </w:r>
      <w:r>
        <w:rPr>
          <w:rFonts w:ascii="仿宋_GB2312" w:eastAsia="仿宋_GB2312"/>
          <w:sz w:val="32"/>
          <w:szCs w:val="32"/>
          <w:highlight w:val="none"/>
        </w:rPr>
        <w:t>83</w:t>
      </w:r>
      <w:r>
        <w:rPr>
          <w:rFonts w:hint="eastAsia" w:ascii="仿宋_GB2312" w:eastAsia="仿宋_GB2312"/>
          <w:sz w:val="32"/>
          <w:szCs w:val="32"/>
          <w:highlight w:val="none"/>
        </w:rPr>
        <w:t>号）精神：凡是以单位人身份进入住院医师规范化培训的人员或以单位人身份正在接受住院医师规范化培训的人员，在培训期间及培训结束（含终止培训或退出培训）后</w:t>
      </w:r>
      <w:r>
        <w:rPr>
          <w:rFonts w:ascii="仿宋_GB2312" w:eastAsia="仿宋_GB2312"/>
          <w:sz w:val="32"/>
          <w:szCs w:val="32"/>
          <w:highlight w:val="none"/>
        </w:rPr>
        <w:t>3</w:t>
      </w:r>
      <w:r>
        <w:rPr>
          <w:rFonts w:hint="eastAsia" w:ascii="仿宋_GB2312" w:eastAsia="仿宋_GB2312"/>
          <w:sz w:val="32"/>
          <w:szCs w:val="32"/>
          <w:highlight w:val="none"/>
        </w:rPr>
        <w:t>年内不得报考培训基地所在单位的任何</w:t>
      </w: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岗位</w:t>
      </w:r>
      <w:r>
        <w:rPr>
          <w:rFonts w:ascii="仿宋_GB2312" w:eastAsia="仿宋_GB2312"/>
          <w:sz w:val="32"/>
          <w:szCs w:val="32"/>
          <w:highlight w:val="none"/>
        </w:rPr>
        <w:t>;</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（十一）法律法规规章规定不得聘为事业单位人员的。</w:t>
      </w:r>
      <w:r>
        <w:rPr>
          <w:rFonts w:ascii="仿宋_GB2312" w:eastAsia="仿宋_GB2312"/>
          <w:sz w:val="32"/>
          <w:szCs w:val="32"/>
          <w:highlight w:val="none"/>
        </w:rPr>
        <w:t xml:space="preserve"> </w:t>
      </w:r>
    </w:p>
    <w:p>
      <w:pPr>
        <w:ind w:firstLine="640" w:firstLineChars="200"/>
        <w:rPr>
          <w:rFonts w:hint="eastAsia" w:ascii="仿宋_GB2312" w:eastAsia="仿宋_GB2312"/>
          <w:sz w:val="32"/>
          <w:szCs w:val="32"/>
          <w:highlight w:val="none"/>
          <w:lang w:eastAsia="zh-CN"/>
        </w:rPr>
      </w:pPr>
      <w:r>
        <w:rPr>
          <w:rFonts w:hint="eastAsia" w:ascii="仿宋_GB2312" w:eastAsia="仿宋_GB2312"/>
          <w:sz w:val="32"/>
          <w:szCs w:val="32"/>
          <w:highlight w:val="none"/>
        </w:rPr>
        <w:t>福建省内机关、事业单位、公立医疗卫生机构</w:t>
      </w:r>
      <w:r>
        <w:rPr>
          <w:rFonts w:hint="eastAsia" w:ascii="仿宋_GB2312" w:eastAsia="仿宋_GB2312"/>
          <w:sz w:val="32"/>
          <w:szCs w:val="32"/>
          <w:highlight w:val="none"/>
          <w:lang w:eastAsia="zh-CN"/>
        </w:rPr>
        <w:t>编内</w:t>
      </w:r>
      <w:r>
        <w:rPr>
          <w:rFonts w:hint="eastAsia" w:ascii="仿宋_GB2312" w:eastAsia="仿宋_GB2312"/>
          <w:sz w:val="32"/>
          <w:szCs w:val="32"/>
          <w:highlight w:val="none"/>
        </w:rPr>
        <w:t>工作人员须征得所在单位同意方可报名，并须在面试资格复核时提供所在单位同意报考书面证明，否则视为放弃面试资格</w:t>
      </w:r>
      <w:r>
        <w:rPr>
          <w:rFonts w:hint="eastAsia" w:ascii="仿宋_GB2312" w:eastAsia="仿宋_GB2312"/>
          <w:sz w:val="32"/>
          <w:szCs w:val="32"/>
          <w:highlight w:val="none"/>
          <w:lang w:eastAsia="zh-CN"/>
        </w:rPr>
        <w:t>。</w:t>
      </w:r>
    </w:p>
    <w:p>
      <w:pPr>
        <w:ind w:firstLine="640" w:firstLineChars="200"/>
        <w:outlineLvl w:val="0"/>
        <w:rPr>
          <w:rFonts w:ascii="黑体" w:hAnsi="黑体" w:eastAsia="黑体"/>
          <w:sz w:val="32"/>
          <w:szCs w:val="32"/>
          <w:highlight w:val="none"/>
        </w:rPr>
      </w:pPr>
      <w:bookmarkStart w:id="24" w:name="_Toc12881"/>
      <w:bookmarkStart w:id="25" w:name="_Toc24432"/>
      <w:r>
        <w:rPr>
          <w:rFonts w:hint="eastAsia" w:ascii="黑体" w:hAnsi="黑体" w:eastAsia="黑体"/>
          <w:sz w:val="32"/>
          <w:szCs w:val="32"/>
          <w:highlight w:val="none"/>
        </w:rPr>
        <w:t>三、选报岗位须知</w:t>
      </w:r>
      <w:bookmarkEnd w:id="24"/>
      <w:bookmarkEnd w:id="25"/>
    </w:p>
    <w:p>
      <w:pPr>
        <w:ind w:firstLine="643" w:firstLineChars="200"/>
        <w:outlineLvl w:val="1"/>
        <w:rPr>
          <w:rFonts w:ascii="楷体" w:hAnsi="楷体" w:eastAsia="楷体"/>
          <w:b/>
          <w:sz w:val="32"/>
          <w:szCs w:val="32"/>
          <w:highlight w:val="none"/>
        </w:rPr>
      </w:pPr>
      <w:bookmarkStart w:id="26" w:name="_Toc27700"/>
      <w:bookmarkStart w:id="27" w:name="_Toc9596"/>
      <w:r>
        <w:rPr>
          <w:rFonts w:hint="eastAsia" w:ascii="楷体" w:hAnsi="楷体" w:eastAsia="楷体"/>
          <w:b/>
          <w:sz w:val="32"/>
          <w:szCs w:val="32"/>
          <w:highlight w:val="none"/>
        </w:rPr>
        <w:t>（一）</w:t>
      </w:r>
      <w:bookmarkEnd w:id="26"/>
      <w:bookmarkEnd w:id="27"/>
      <w:r>
        <w:rPr>
          <w:rFonts w:hint="eastAsia" w:ascii="楷体" w:hAnsi="楷体" w:eastAsia="楷体"/>
          <w:b/>
          <w:sz w:val="32"/>
          <w:szCs w:val="32"/>
          <w:highlight w:val="none"/>
        </w:rPr>
        <w:t>岗位资格条件确认</w:t>
      </w:r>
    </w:p>
    <w:p>
      <w:pPr>
        <w:ind w:firstLine="640" w:firstLineChars="200"/>
        <w:rPr>
          <w:rFonts w:ascii="仿宋_GB2312" w:eastAsia="仿宋_GB2312"/>
          <w:sz w:val="32"/>
          <w:szCs w:val="32"/>
          <w:highlight w:val="none"/>
        </w:rPr>
      </w:pPr>
      <w:r>
        <w:rPr>
          <w:rFonts w:ascii="仿宋_GB2312" w:eastAsia="仿宋_GB2312"/>
          <w:sz w:val="32"/>
          <w:szCs w:val="32"/>
          <w:highlight w:val="none"/>
        </w:rPr>
        <w:t>1.</w:t>
      </w:r>
      <w:r>
        <w:rPr>
          <w:rFonts w:hint="eastAsia" w:ascii="仿宋_GB2312" w:eastAsia="仿宋_GB2312"/>
          <w:sz w:val="32"/>
          <w:szCs w:val="32"/>
          <w:highlight w:val="none"/>
        </w:rPr>
        <w:t>报考者须在报名时，全面、逐项对照招考岗位要求，确认符合拟报岗位条件方可报名，并须对本人的报名资格及所提供材料的真实性负责。</w:t>
      </w:r>
      <w:r>
        <w:rPr>
          <w:rFonts w:ascii="仿宋_GB2312" w:eastAsia="仿宋_GB2312"/>
          <w:sz w:val="32"/>
          <w:szCs w:val="32"/>
          <w:highlight w:val="none"/>
        </w:rPr>
        <w:t xml:space="preserve">  </w:t>
      </w:r>
    </w:p>
    <w:p>
      <w:pPr>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2.每名报考者只能报考1个岗位，通过资格初审后不得更改，并以通过资格初审的岗位进行缴费和参加考试。</w:t>
      </w:r>
    </w:p>
    <w:p>
      <w:pPr>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3. 根据《关于应对新冠肺炎疫情影响实施部分职业资格“先上岗、再考证”阶段性措施的通知》（人社部发〔2020〕24号）精神，</w:t>
      </w: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岗位条件中设置要求“持有《护士资格证书》”的，在符合岗位其他条件的前提下，未持有《护士资格证书》但符合护士资格考试报名条件的应届毕业生，也可报名参加本次考试。</w:t>
      </w:r>
    </w:p>
    <w:p>
      <w:pPr>
        <w:ind w:firstLine="643" w:firstLineChars="200"/>
        <w:outlineLvl w:val="1"/>
        <w:rPr>
          <w:rFonts w:ascii="楷体" w:hAnsi="楷体" w:eastAsia="楷体"/>
          <w:b/>
          <w:sz w:val="32"/>
          <w:szCs w:val="32"/>
          <w:highlight w:val="none"/>
        </w:rPr>
      </w:pPr>
      <w:bookmarkStart w:id="28" w:name="_Toc8174"/>
      <w:bookmarkStart w:id="29" w:name="_Toc8070"/>
      <w:r>
        <w:rPr>
          <w:rFonts w:hint="eastAsia" w:ascii="楷体" w:hAnsi="楷体" w:eastAsia="楷体"/>
          <w:b/>
          <w:sz w:val="32"/>
          <w:szCs w:val="32"/>
          <w:highlight w:val="none"/>
        </w:rPr>
        <w:t>（二）照片提交</w:t>
      </w:r>
      <w:bookmarkEnd w:id="28"/>
      <w:bookmarkEnd w:id="29"/>
    </w:p>
    <w:p>
      <w:pPr>
        <w:shd w:val="clear" w:color="auto" w:fill="FFFFFF"/>
        <w:adjustRightInd w:val="0"/>
        <w:ind w:firstLine="640" w:firstLineChars="200"/>
        <w:jc w:val="left"/>
        <w:rPr>
          <w:rFonts w:ascii="仿宋_GB2312" w:eastAsia="仿宋_GB2312"/>
          <w:sz w:val="32"/>
          <w:szCs w:val="32"/>
          <w:highlight w:val="none"/>
        </w:rPr>
      </w:pPr>
      <w:r>
        <w:rPr>
          <w:rFonts w:hint="eastAsia" w:ascii="仿宋_GB2312" w:eastAsia="仿宋_GB2312"/>
          <w:sz w:val="32"/>
          <w:szCs w:val="32"/>
          <w:highlight w:val="none"/>
        </w:rPr>
        <w:t>报考者须在报名时提交近期正面免冠二寸彩色数码证件照（</w:t>
      </w:r>
      <w:r>
        <w:rPr>
          <w:rFonts w:ascii="仿宋_GB2312" w:eastAsia="仿宋_GB2312"/>
          <w:sz w:val="32"/>
          <w:szCs w:val="32"/>
          <w:highlight w:val="none"/>
        </w:rPr>
        <w:t>jpg</w:t>
      </w:r>
      <w:r>
        <w:rPr>
          <w:rFonts w:hint="eastAsia" w:ascii="仿宋_GB2312" w:eastAsia="仿宋_GB2312"/>
          <w:sz w:val="32"/>
          <w:szCs w:val="32"/>
          <w:highlight w:val="none"/>
        </w:rPr>
        <w:t>格式，规格</w:t>
      </w:r>
      <w:r>
        <w:rPr>
          <w:rFonts w:ascii="仿宋_GB2312" w:eastAsia="仿宋_GB2312"/>
          <w:sz w:val="32"/>
          <w:szCs w:val="32"/>
          <w:highlight w:val="none"/>
        </w:rPr>
        <w:t>200K</w:t>
      </w:r>
      <w:r>
        <w:rPr>
          <w:rFonts w:hint="eastAsia" w:ascii="仿宋_GB2312" w:eastAsia="仿宋_GB2312"/>
          <w:sz w:val="32"/>
          <w:szCs w:val="32"/>
          <w:highlight w:val="none"/>
        </w:rPr>
        <w:t>以下）。以下为常见不合格照片：①着制式服装照；②着帽子或太醒目、夸张首饰等；③模糊不清晰的；④眼镜反光的；⑤明显不是个人照片的（如风景照、名人照等）；⑥随意自拍的半身照，全身照等无法看清楚脸的；⑦头发刘海遮挡面大的；⑧照片比例变形的；⑨手持证件的照片；⑩其他难以清晰辨认的。</w:t>
      </w:r>
    </w:p>
    <w:p>
      <w:pPr>
        <w:shd w:val="clear" w:color="auto" w:fill="FFFFFF"/>
        <w:adjustRightInd w:val="0"/>
        <w:ind w:firstLine="640" w:firstLineChars="200"/>
        <w:jc w:val="left"/>
        <w:rPr>
          <w:rFonts w:ascii="仿宋_GB2312" w:eastAsia="仿宋_GB2312"/>
          <w:sz w:val="32"/>
          <w:szCs w:val="32"/>
          <w:highlight w:val="none"/>
        </w:rPr>
      </w:pPr>
      <w:r>
        <w:rPr>
          <w:rFonts w:hint="eastAsia" w:ascii="仿宋_GB2312" w:eastAsia="仿宋_GB2312"/>
          <w:sz w:val="32"/>
          <w:szCs w:val="32"/>
          <w:highlight w:val="none"/>
        </w:rPr>
        <w:t>报考者因未在规定时限内提交合格照片造成无法打印准考证的，视为放弃考试资格。</w:t>
      </w:r>
    </w:p>
    <w:p>
      <w:pPr>
        <w:ind w:firstLine="643" w:firstLineChars="200"/>
        <w:outlineLvl w:val="1"/>
        <w:rPr>
          <w:rFonts w:ascii="楷体" w:hAnsi="楷体" w:eastAsia="楷体"/>
          <w:b/>
          <w:sz w:val="32"/>
          <w:szCs w:val="32"/>
          <w:highlight w:val="none"/>
        </w:rPr>
      </w:pPr>
      <w:bookmarkStart w:id="30" w:name="_Toc21135"/>
      <w:bookmarkStart w:id="31" w:name="_Toc16906"/>
      <w:r>
        <w:rPr>
          <w:rFonts w:hint="eastAsia" w:ascii="楷体" w:hAnsi="楷体" w:eastAsia="楷体"/>
          <w:b/>
          <w:sz w:val="32"/>
          <w:szCs w:val="32"/>
          <w:highlight w:val="none"/>
        </w:rPr>
        <w:t>（三）回避情形</w:t>
      </w:r>
      <w:bookmarkEnd w:id="30"/>
      <w:bookmarkEnd w:id="31"/>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根据《事业单位人事管理回避规定》（人社部规〔</w:t>
      </w:r>
      <w:r>
        <w:rPr>
          <w:rFonts w:ascii="仿宋_GB2312" w:eastAsia="仿宋_GB2312"/>
          <w:sz w:val="32"/>
          <w:szCs w:val="32"/>
          <w:highlight w:val="none"/>
        </w:rPr>
        <w:t>2019</w:t>
      </w:r>
      <w:r>
        <w:rPr>
          <w:rFonts w:hint="eastAsia" w:ascii="仿宋_GB2312" w:eastAsia="仿宋_GB2312"/>
          <w:sz w:val="32"/>
          <w:szCs w:val="32"/>
          <w:highlight w:val="none"/>
        </w:rPr>
        <w:t>〕</w:t>
      </w:r>
      <w:r>
        <w:rPr>
          <w:rFonts w:ascii="仿宋_GB2312" w:eastAsia="仿宋_GB2312"/>
          <w:sz w:val="32"/>
          <w:szCs w:val="32"/>
          <w:highlight w:val="none"/>
        </w:rPr>
        <w:t>1</w:t>
      </w:r>
      <w:r>
        <w:rPr>
          <w:rFonts w:hint="eastAsia" w:ascii="仿宋_GB2312" w:eastAsia="仿宋_GB2312"/>
          <w:sz w:val="32"/>
          <w:szCs w:val="32"/>
          <w:highlight w:val="none"/>
        </w:rPr>
        <w:t>号），事业单位工作人员凡有下列亲属关系的，不得在同一事业单位</w:t>
      </w:r>
      <w:r>
        <w:rPr>
          <w:rFonts w:hint="eastAsia" w:ascii="仿宋_GB2312" w:eastAsia="仿宋_GB2312"/>
          <w:sz w:val="32"/>
          <w:szCs w:val="32"/>
          <w:highlight w:val="none"/>
          <w:lang w:eastAsia="zh-CN"/>
        </w:rPr>
        <w:t>聘用</w:t>
      </w:r>
      <w:r>
        <w:rPr>
          <w:rFonts w:hint="eastAsia" w:ascii="仿宋_GB2312" w:eastAsia="仿宋_GB2312"/>
          <w:sz w:val="32"/>
          <w:szCs w:val="32"/>
          <w:highlight w:val="none"/>
        </w:rPr>
        <w:t>至具有直接上下级领导关系的管理岗位，不得在其中一方担任领导人员的事业单位</w:t>
      </w:r>
      <w:r>
        <w:rPr>
          <w:rFonts w:hint="eastAsia" w:ascii="仿宋_GB2312" w:eastAsia="仿宋_GB2312"/>
          <w:sz w:val="32"/>
          <w:szCs w:val="32"/>
          <w:highlight w:val="none"/>
          <w:lang w:eastAsia="zh-CN"/>
        </w:rPr>
        <w:t>聘用</w:t>
      </w:r>
      <w:r>
        <w:rPr>
          <w:rFonts w:hint="eastAsia" w:ascii="仿宋_GB2312" w:eastAsia="仿宋_GB2312"/>
          <w:sz w:val="32"/>
          <w:szCs w:val="32"/>
          <w:highlight w:val="none"/>
        </w:rPr>
        <w:t>至从事组织</w:t>
      </w:r>
      <w:r>
        <w:rPr>
          <w:rFonts w:ascii="仿宋_GB2312" w:eastAsia="仿宋_GB2312"/>
          <w:sz w:val="32"/>
          <w:szCs w:val="32"/>
          <w:highlight w:val="none"/>
        </w:rPr>
        <w:t>(</w:t>
      </w:r>
      <w:r>
        <w:rPr>
          <w:rFonts w:hint="eastAsia" w:ascii="仿宋_GB2312" w:eastAsia="仿宋_GB2312"/>
          <w:sz w:val="32"/>
          <w:szCs w:val="32"/>
          <w:highlight w:val="none"/>
        </w:rPr>
        <w:t>人事</w:t>
      </w:r>
      <w:r>
        <w:rPr>
          <w:rFonts w:ascii="仿宋_GB2312" w:eastAsia="仿宋_GB2312"/>
          <w:sz w:val="32"/>
          <w:szCs w:val="32"/>
          <w:highlight w:val="none"/>
        </w:rPr>
        <w:t>)</w:t>
      </w:r>
      <w:r>
        <w:rPr>
          <w:rFonts w:hint="eastAsia" w:ascii="仿宋_GB2312" w:eastAsia="仿宋_GB2312"/>
          <w:sz w:val="32"/>
          <w:szCs w:val="32"/>
          <w:highlight w:val="none"/>
        </w:rPr>
        <w:t>、纪检监察、审计、财务工作的岗位，也不得</w:t>
      </w:r>
      <w:r>
        <w:rPr>
          <w:rFonts w:hint="eastAsia" w:ascii="仿宋_GB2312" w:eastAsia="仿宋_GB2312"/>
          <w:sz w:val="32"/>
          <w:szCs w:val="32"/>
          <w:highlight w:val="none"/>
          <w:lang w:eastAsia="zh-CN"/>
        </w:rPr>
        <w:t>聘用</w:t>
      </w:r>
      <w:r>
        <w:rPr>
          <w:rFonts w:hint="eastAsia" w:ascii="仿宋_GB2312" w:eastAsia="仿宋_GB2312"/>
          <w:sz w:val="32"/>
          <w:szCs w:val="32"/>
          <w:highlight w:val="none"/>
        </w:rPr>
        <w:t>至双方直接隶属于同一领导人员的从事组织</w:t>
      </w:r>
      <w:r>
        <w:rPr>
          <w:rFonts w:ascii="仿宋_GB2312" w:eastAsia="仿宋_GB2312"/>
          <w:sz w:val="32"/>
          <w:szCs w:val="32"/>
          <w:highlight w:val="none"/>
        </w:rPr>
        <w:t>(</w:t>
      </w:r>
      <w:r>
        <w:rPr>
          <w:rFonts w:hint="eastAsia" w:ascii="仿宋_GB2312" w:eastAsia="仿宋_GB2312"/>
          <w:sz w:val="32"/>
          <w:szCs w:val="32"/>
          <w:highlight w:val="none"/>
        </w:rPr>
        <w:t>人事</w:t>
      </w:r>
      <w:r>
        <w:rPr>
          <w:rFonts w:ascii="仿宋_GB2312" w:eastAsia="仿宋_GB2312"/>
          <w:sz w:val="32"/>
          <w:szCs w:val="32"/>
          <w:highlight w:val="none"/>
        </w:rPr>
        <w:t>)</w:t>
      </w:r>
      <w:r>
        <w:rPr>
          <w:rFonts w:hint="eastAsia" w:ascii="仿宋_GB2312" w:eastAsia="仿宋_GB2312"/>
          <w:sz w:val="32"/>
          <w:szCs w:val="32"/>
          <w:highlight w:val="none"/>
        </w:rPr>
        <w:t>、纪检监察、审计、财务工作的内设机构正职岗位：</w:t>
      </w:r>
    </w:p>
    <w:p>
      <w:pPr>
        <w:ind w:firstLine="640" w:firstLineChars="200"/>
        <w:rPr>
          <w:rFonts w:ascii="仿宋_GB2312" w:eastAsia="仿宋_GB2312"/>
          <w:sz w:val="32"/>
          <w:szCs w:val="32"/>
          <w:highlight w:val="none"/>
        </w:rPr>
      </w:pPr>
      <w:r>
        <w:rPr>
          <w:rFonts w:ascii="仿宋_GB2312" w:eastAsia="仿宋_GB2312"/>
          <w:sz w:val="32"/>
          <w:szCs w:val="32"/>
          <w:highlight w:val="none"/>
        </w:rPr>
        <w:t>1.</w:t>
      </w:r>
      <w:r>
        <w:rPr>
          <w:rFonts w:hint="eastAsia" w:ascii="仿宋_GB2312" w:eastAsia="仿宋_GB2312"/>
          <w:sz w:val="32"/>
          <w:szCs w:val="32"/>
          <w:highlight w:val="none"/>
        </w:rPr>
        <w:t>夫妻关系</w:t>
      </w:r>
      <w:r>
        <w:rPr>
          <w:rFonts w:ascii="仿宋_GB2312" w:eastAsia="仿宋_GB2312"/>
          <w:sz w:val="32"/>
          <w:szCs w:val="32"/>
          <w:highlight w:val="none"/>
        </w:rPr>
        <w:t>;</w:t>
      </w:r>
    </w:p>
    <w:p>
      <w:pPr>
        <w:ind w:firstLine="640" w:firstLineChars="200"/>
        <w:rPr>
          <w:rFonts w:ascii="仿宋_GB2312" w:eastAsia="仿宋_GB2312"/>
          <w:sz w:val="32"/>
          <w:szCs w:val="32"/>
          <w:highlight w:val="none"/>
        </w:rPr>
      </w:pPr>
      <w:r>
        <w:rPr>
          <w:rFonts w:ascii="仿宋_GB2312" w:eastAsia="仿宋_GB2312"/>
          <w:sz w:val="32"/>
          <w:szCs w:val="32"/>
          <w:highlight w:val="none"/>
        </w:rPr>
        <w:t>2.</w:t>
      </w:r>
      <w:r>
        <w:rPr>
          <w:rFonts w:hint="eastAsia" w:ascii="仿宋_GB2312" w:eastAsia="仿宋_GB2312"/>
          <w:sz w:val="32"/>
          <w:szCs w:val="32"/>
          <w:highlight w:val="none"/>
        </w:rPr>
        <w:t>直系血亲关系，包括祖父母、外祖父母、父母、子女、孙子女、外孙子女</w:t>
      </w:r>
      <w:r>
        <w:rPr>
          <w:rFonts w:ascii="仿宋_GB2312" w:eastAsia="仿宋_GB2312"/>
          <w:sz w:val="32"/>
          <w:szCs w:val="32"/>
          <w:highlight w:val="none"/>
        </w:rPr>
        <w:t>;</w:t>
      </w:r>
    </w:p>
    <w:p>
      <w:pPr>
        <w:ind w:firstLine="640" w:firstLineChars="200"/>
        <w:rPr>
          <w:rFonts w:ascii="仿宋_GB2312" w:eastAsia="仿宋_GB2312"/>
          <w:sz w:val="32"/>
          <w:szCs w:val="32"/>
          <w:highlight w:val="none"/>
        </w:rPr>
      </w:pPr>
      <w:r>
        <w:rPr>
          <w:rFonts w:ascii="仿宋_GB2312" w:eastAsia="仿宋_GB2312"/>
          <w:sz w:val="32"/>
          <w:szCs w:val="32"/>
          <w:highlight w:val="none"/>
        </w:rPr>
        <w:t>3.</w:t>
      </w:r>
      <w:r>
        <w:rPr>
          <w:rFonts w:hint="eastAsia" w:ascii="仿宋_GB2312" w:eastAsia="仿宋_GB2312"/>
          <w:sz w:val="32"/>
          <w:szCs w:val="32"/>
          <w:highlight w:val="none"/>
        </w:rPr>
        <w:t>三代以内旁系血亲关系，包括叔伯姑舅姨、兄弟姐妹、堂兄弟姐妹、表兄弟姐妹、侄子女、甥子女</w:t>
      </w:r>
      <w:r>
        <w:rPr>
          <w:rFonts w:ascii="仿宋_GB2312" w:eastAsia="仿宋_GB2312"/>
          <w:sz w:val="32"/>
          <w:szCs w:val="32"/>
          <w:highlight w:val="none"/>
        </w:rPr>
        <w:t>;</w:t>
      </w:r>
    </w:p>
    <w:p>
      <w:pPr>
        <w:ind w:firstLine="640" w:firstLineChars="200"/>
        <w:rPr>
          <w:rFonts w:ascii="仿宋_GB2312" w:eastAsia="仿宋_GB2312"/>
          <w:sz w:val="32"/>
          <w:szCs w:val="32"/>
          <w:highlight w:val="none"/>
        </w:rPr>
      </w:pPr>
      <w:r>
        <w:rPr>
          <w:rFonts w:ascii="仿宋_GB2312" w:eastAsia="仿宋_GB2312"/>
          <w:sz w:val="32"/>
          <w:szCs w:val="32"/>
          <w:highlight w:val="none"/>
        </w:rPr>
        <w:t>4.</w:t>
      </w:r>
      <w:r>
        <w:rPr>
          <w:rFonts w:hint="eastAsia" w:ascii="仿宋_GB2312" w:eastAsia="仿宋_GB2312"/>
          <w:sz w:val="32"/>
          <w:szCs w:val="32"/>
          <w:highlight w:val="none"/>
        </w:rPr>
        <w:t>近姻亲关系，包括配偶的父母、配偶的兄弟姐妹及其配偶、子女的配偶及子女配偶的父母、三代以内旁系血亲的配偶</w:t>
      </w:r>
      <w:r>
        <w:rPr>
          <w:rFonts w:ascii="仿宋_GB2312" w:eastAsia="仿宋_GB2312"/>
          <w:sz w:val="32"/>
          <w:szCs w:val="32"/>
          <w:highlight w:val="none"/>
        </w:rPr>
        <w:t>;</w:t>
      </w:r>
    </w:p>
    <w:p>
      <w:pPr>
        <w:ind w:firstLine="640" w:firstLineChars="200"/>
        <w:rPr>
          <w:rFonts w:ascii="仿宋_GB2312" w:eastAsia="仿宋_GB2312"/>
          <w:sz w:val="32"/>
          <w:szCs w:val="32"/>
          <w:highlight w:val="none"/>
        </w:rPr>
      </w:pPr>
      <w:r>
        <w:rPr>
          <w:rFonts w:ascii="仿宋_GB2312" w:eastAsia="仿宋_GB2312"/>
          <w:sz w:val="32"/>
          <w:szCs w:val="32"/>
          <w:highlight w:val="none"/>
        </w:rPr>
        <w:t>5.</w:t>
      </w:r>
      <w:r>
        <w:rPr>
          <w:rFonts w:hint="eastAsia" w:ascii="仿宋_GB2312" w:eastAsia="仿宋_GB2312"/>
          <w:sz w:val="32"/>
          <w:szCs w:val="32"/>
          <w:highlight w:val="none"/>
        </w:rPr>
        <w:t>其他亲属关系，包括养父母子女、形成抚养关系的继父母子女及由此形成的直系血亲、三代以内旁系血亲和近姻亲关系。</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从事</w:t>
      </w: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工作的人员与应聘人员有上述亲属关系的，须实行履职回避。</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所称直接上下级领导关系包括：</w:t>
      </w:r>
    </w:p>
    <w:p>
      <w:pPr>
        <w:ind w:firstLine="640" w:firstLineChars="200"/>
        <w:rPr>
          <w:rFonts w:ascii="仿宋_GB2312" w:eastAsia="仿宋_GB2312"/>
          <w:sz w:val="32"/>
          <w:szCs w:val="32"/>
          <w:highlight w:val="none"/>
        </w:rPr>
      </w:pPr>
      <w:r>
        <w:rPr>
          <w:rFonts w:ascii="仿宋_GB2312" w:eastAsia="仿宋_GB2312"/>
          <w:sz w:val="32"/>
          <w:szCs w:val="32"/>
          <w:highlight w:val="none"/>
        </w:rPr>
        <w:t>1.</w:t>
      </w:r>
      <w:r>
        <w:rPr>
          <w:rFonts w:hint="eastAsia" w:ascii="仿宋_GB2312" w:eastAsia="仿宋_GB2312"/>
          <w:sz w:val="32"/>
          <w:szCs w:val="32"/>
          <w:highlight w:val="none"/>
        </w:rPr>
        <w:t>领导班子正职与副职</w:t>
      </w:r>
      <w:r>
        <w:rPr>
          <w:rFonts w:ascii="仿宋_GB2312" w:eastAsia="仿宋_GB2312"/>
          <w:sz w:val="32"/>
          <w:szCs w:val="32"/>
          <w:highlight w:val="none"/>
        </w:rPr>
        <w:t>;</w:t>
      </w:r>
    </w:p>
    <w:p>
      <w:pPr>
        <w:ind w:firstLine="640" w:firstLineChars="200"/>
        <w:rPr>
          <w:rFonts w:ascii="仿宋_GB2312" w:eastAsia="仿宋_GB2312"/>
          <w:sz w:val="32"/>
          <w:szCs w:val="32"/>
          <w:highlight w:val="none"/>
        </w:rPr>
      </w:pPr>
      <w:r>
        <w:rPr>
          <w:rFonts w:ascii="仿宋_GB2312" w:eastAsia="仿宋_GB2312"/>
          <w:sz w:val="32"/>
          <w:szCs w:val="32"/>
          <w:highlight w:val="none"/>
        </w:rPr>
        <w:t>2.</w:t>
      </w:r>
      <w:r>
        <w:rPr>
          <w:rFonts w:hint="eastAsia" w:ascii="仿宋_GB2312" w:eastAsia="仿宋_GB2312"/>
          <w:sz w:val="32"/>
          <w:szCs w:val="32"/>
          <w:highlight w:val="none"/>
        </w:rPr>
        <w:t>同一内设机构正职与副职</w:t>
      </w:r>
      <w:r>
        <w:rPr>
          <w:rFonts w:ascii="仿宋_GB2312" w:eastAsia="仿宋_GB2312"/>
          <w:sz w:val="32"/>
          <w:szCs w:val="32"/>
          <w:highlight w:val="none"/>
        </w:rPr>
        <w:t>;</w:t>
      </w:r>
    </w:p>
    <w:p>
      <w:pPr>
        <w:ind w:firstLine="640" w:firstLineChars="200"/>
        <w:rPr>
          <w:rFonts w:ascii="仿宋_GB2312" w:eastAsia="仿宋_GB2312"/>
          <w:sz w:val="32"/>
          <w:szCs w:val="32"/>
          <w:highlight w:val="none"/>
        </w:rPr>
      </w:pPr>
      <w:r>
        <w:rPr>
          <w:rFonts w:ascii="仿宋_GB2312" w:eastAsia="仿宋_GB2312"/>
          <w:sz w:val="32"/>
          <w:szCs w:val="32"/>
          <w:highlight w:val="none"/>
        </w:rPr>
        <w:t>3.</w:t>
      </w:r>
      <w:r>
        <w:rPr>
          <w:rFonts w:hint="eastAsia" w:ascii="仿宋_GB2312" w:eastAsia="仿宋_GB2312"/>
          <w:sz w:val="32"/>
          <w:szCs w:val="32"/>
          <w:highlight w:val="none"/>
        </w:rPr>
        <w:t>上级正职、副职与下级正职</w:t>
      </w:r>
      <w:r>
        <w:rPr>
          <w:rFonts w:ascii="仿宋_GB2312" w:eastAsia="仿宋_GB2312"/>
          <w:sz w:val="32"/>
          <w:szCs w:val="32"/>
          <w:highlight w:val="none"/>
        </w:rPr>
        <w:t>;</w:t>
      </w:r>
    </w:p>
    <w:p>
      <w:pPr>
        <w:ind w:firstLine="640" w:firstLineChars="200"/>
        <w:rPr>
          <w:rFonts w:ascii="仿宋_GB2312" w:eastAsia="仿宋_GB2312"/>
          <w:sz w:val="32"/>
          <w:szCs w:val="32"/>
          <w:highlight w:val="none"/>
        </w:rPr>
      </w:pPr>
      <w:r>
        <w:rPr>
          <w:rFonts w:ascii="仿宋_GB2312" w:eastAsia="仿宋_GB2312"/>
          <w:sz w:val="32"/>
          <w:szCs w:val="32"/>
          <w:highlight w:val="none"/>
        </w:rPr>
        <w:t>4.</w:t>
      </w:r>
      <w:r>
        <w:rPr>
          <w:rFonts w:hint="eastAsia" w:ascii="仿宋_GB2312" w:eastAsia="仿宋_GB2312"/>
          <w:sz w:val="32"/>
          <w:szCs w:val="32"/>
          <w:highlight w:val="none"/>
        </w:rPr>
        <w:t>单位无内设机构的，其正职、副职与其他管理人员以及从事审计、财务工作的专业技术人员</w:t>
      </w:r>
      <w:r>
        <w:rPr>
          <w:rFonts w:ascii="仿宋_GB2312" w:eastAsia="仿宋_GB2312"/>
          <w:sz w:val="32"/>
          <w:szCs w:val="32"/>
          <w:highlight w:val="none"/>
        </w:rPr>
        <w:t>;</w:t>
      </w:r>
    </w:p>
    <w:p>
      <w:pPr>
        <w:ind w:firstLine="640" w:firstLineChars="200"/>
        <w:rPr>
          <w:rFonts w:ascii="仿宋_GB2312" w:eastAsia="仿宋_GB2312"/>
          <w:sz w:val="32"/>
          <w:szCs w:val="32"/>
          <w:highlight w:val="none"/>
        </w:rPr>
      </w:pPr>
      <w:r>
        <w:rPr>
          <w:rFonts w:ascii="仿宋_GB2312" w:eastAsia="仿宋_GB2312"/>
          <w:sz w:val="32"/>
          <w:szCs w:val="32"/>
          <w:highlight w:val="none"/>
        </w:rPr>
        <w:t>5.</w:t>
      </w:r>
      <w:r>
        <w:rPr>
          <w:rFonts w:hint="eastAsia" w:ascii="仿宋_GB2312" w:eastAsia="仿宋_GB2312"/>
          <w:sz w:val="32"/>
          <w:szCs w:val="32"/>
          <w:highlight w:val="none"/>
        </w:rPr>
        <w:t>内设机构无下一级单位的，其正职、副职与其他管理人员以及从事审计、财务工作的专业技术人员。</w:t>
      </w:r>
    </w:p>
    <w:p>
      <w:pPr>
        <w:ind w:firstLine="643" w:firstLineChars="200"/>
        <w:outlineLvl w:val="1"/>
        <w:rPr>
          <w:rFonts w:ascii="楷体" w:hAnsi="楷体" w:eastAsia="楷体"/>
          <w:b/>
          <w:sz w:val="32"/>
          <w:szCs w:val="32"/>
          <w:highlight w:val="none"/>
        </w:rPr>
      </w:pPr>
      <w:bookmarkStart w:id="32" w:name="_Toc17065"/>
      <w:bookmarkStart w:id="33" w:name="_Toc459"/>
      <w:r>
        <w:rPr>
          <w:rFonts w:hint="eastAsia" w:ascii="楷体" w:hAnsi="楷体" w:eastAsia="楷体"/>
          <w:b/>
          <w:sz w:val="32"/>
          <w:szCs w:val="32"/>
          <w:highlight w:val="none"/>
        </w:rPr>
        <w:t>（四）</w:t>
      </w:r>
      <w:bookmarkStart w:id="34" w:name="_Toc19635_WPSOffice_Level1"/>
      <w:r>
        <w:rPr>
          <w:rFonts w:hint="eastAsia" w:ascii="楷体" w:hAnsi="楷体" w:eastAsia="楷体"/>
          <w:b/>
          <w:sz w:val="32"/>
          <w:szCs w:val="32"/>
          <w:highlight w:val="none"/>
        </w:rPr>
        <w:t>开考比例</w:t>
      </w:r>
      <w:bookmarkEnd w:id="32"/>
      <w:bookmarkEnd w:id="33"/>
      <w:bookmarkEnd w:id="34"/>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符合岗位条件的报名人数（指通过网上报名资格初审且缴费的人数）与岗位拟</w:t>
      </w:r>
      <w:r>
        <w:rPr>
          <w:rFonts w:hint="eastAsia" w:ascii="仿宋_GB2312" w:eastAsia="仿宋_GB2312"/>
          <w:sz w:val="32"/>
          <w:szCs w:val="32"/>
          <w:highlight w:val="none"/>
          <w:lang w:eastAsia="zh-CN"/>
        </w:rPr>
        <w:t>录取</w:t>
      </w:r>
      <w:r>
        <w:rPr>
          <w:rFonts w:hint="eastAsia" w:ascii="仿宋_GB2312" w:eastAsia="仿宋_GB2312"/>
          <w:sz w:val="32"/>
          <w:szCs w:val="32"/>
          <w:highlight w:val="none"/>
        </w:rPr>
        <w:t>人数比例达不到</w:t>
      </w:r>
      <w:r>
        <w:rPr>
          <w:rFonts w:ascii="仿宋_GB2312" w:eastAsia="仿宋_GB2312"/>
          <w:sz w:val="32"/>
          <w:szCs w:val="32"/>
          <w:highlight w:val="none"/>
        </w:rPr>
        <w:t>3:1</w:t>
      </w:r>
      <w:r>
        <w:rPr>
          <w:rFonts w:hint="eastAsia" w:ascii="仿宋_GB2312" w:eastAsia="仿宋_GB2312"/>
          <w:sz w:val="32"/>
          <w:szCs w:val="32"/>
          <w:highlight w:val="none"/>
        </w:rPr>
        <w:t>的，原则上取消开考或相应减少</w:t>
      </w: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人数，情况确实特殊可以申请适当降低比例开考。</w:t>
      </w:r>
    </w:p>
    <w:p>
      <w:pPr>
        <w:shd w:val="clear" w:color="auto" w:fill="FFFFFF"/>
        <w:adjustRightInd w:val="0"/>
        <w:snapToGrid w:val="0"/>
        <w:spacing w:line="640" w:lineRule="exact"/>
        <w:ind w:firstLine="640" w:firstLineChars="200"/>
        <w:jc w:val="left"/>
        <w:rPr>
          <w:rFonts w:ascii="仿宋_GB2312" w:eastAsia="仿宋_GB2312"/>
          <w:sz w:val="32"/>
          <w:szCs w:val="32"/>
          <w:highlight w:val="none"/>
        </w:rPr>
      </w:pPr>
      <w:r>
        <w:rPr>
          <w:rFonts w:hint="eastAsia" w:ascii="仿宋_GB2312" w:eastAsia="仿宋_GB2312"/>
          <w:sz w:val="32"/>
          <w:szCs w:val="32"/>
          <w:highlight w:val="none"/>
        </w:rPr>
        <w:t>取消开考、减少</w:t>
      </w: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人数、降低开考比例的岗位由</w:t>
      </w:r>
      <w:r>
        <w:rPr>
          <w:rFonts w:hint="eastAsia" w:ascii="仿宋_GB2312" w:eastAsia="仿宋_GB2312"/>
          <w:sz w:val="32"/>
          <w:szCs w:val="32"/>
          <w:highlight w:val="none"/>
          <w:lang w:eastAsia="zh-CN"/>
        </w:rPr>
        <w:t>用人</w:t>
      </w:r>
      <w:r>
        <w:rPr>
          <w:rFonts w:hint="eastAsia" w:ascii="仿宋_GB2312" w:eastAsia="仿宋_GB2312"/>
          <w:sz w:val="32"/>
          <w:szCs w:val="32"/>
          <w:highlight w:val="none"/>
        </w:rPr>
        <w:t>单位于报名工作结束后提出，经</w:t>
      </w:r>
      <w:r>
        <w:rPr>
          <w:rFonts w:hint="eastAsia" w:ascii="仿宋_GB2312" w:eastAsia="仿宋_GB2312"/>
          <w:sz w:val="32"/>
          <w:szCs w:val="32"/>
          <w:highlight w:val="none"/>
          <w:lang w:eastAsia="zh-CN"/>
        </w:rPr>
        <w:t>厦门医学院</w:t>
      </w:r>
      <w:r>
        <w:rPr>
          <w:rFonts w:hint="eastAsia" w:ascii="仿宋_GB2312" w:eastAsia="仿宋_GB2312"/>
          <w:sz w:val="32"/>
          <w:szCs w:val="32"/>
          <w:highlight w:val="none"/>
        </w:rPr>
        <w:t>同意后统一在招考系统</w:t>
      </w:r>
      <w:r>
        <w:rPr>
          <w:rFonts w:hint="eastAsia" w:ascii="仿宋_GB2312" w:eastAsia="仿宋_GB2312"/>
          <w:sz w:val="32"/>
          <w:szCs w:val="32"/>
          <w:highlight w:val="none"/>
          <w:lang w:eastAsia="zh-CN"/>
        </w:rPr>
        <w:t>或厦门医学院官网</w:t>
      </w:r>
      <w:r>
        <w:rPr>
          <w:rFonts w:hint="eastAsia" w:ascii="仿宋_GB2312" w:eastAsia="仿宋_GB2312"/>
          <w:sz w:val="32"/>
          <w:szCs w:val="32"/>
          <w:highlight w:val="none"/>
        </w:rPr>
        <w:t>公布。</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取消开考岗位将退还所有报考者的考试考务费，其余情况一律不予退还考试考务费。</w:t>
      </w:r>
    </w:p>
    <w:p>
      <w:pPr>
        <w:ind w:firstLine="640" w:firstLineChars="200"/>
        <w:outlineLvl w:val="0"/>
        <w:rPr>
          <w:rFonts w:ascii="黑体" w:hAnsi="黑体" w:eastAsia="黑体"/>
          <w:sz w:val="32"/>
          <w:szCs w:val="32"/>
          <w:highlight w:val="none"/>
        </w:rPr>
      </w:pPr>
      <w:bookmarkStart w:id="35" w:name="_Toc17965"/>
      <w:bookmarkStart w:id="36" w:name="_Toc250"/>
      <w:r>
        <w:rPr>
          <w:rFonts w:hint="eastAsia" w:ascii="黑体" w:hAnsi="黑体" w:eastAsia="黑体"/>
          <w:sz w:val="32"/>
          <w:szCs w:val="32"/>
          <w:highlight w:val="none"/>
        </w:rPr>
        <w:t>四、资格复核</w:t>
      </w:r>
      <w:bookmarkEnd w:id="35"/>
      <w:bookmarkEnd w:id="36"/>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资格复核时，考生应提供以下资料的原件及复印件，复印件应依序装订成册（一式</w:t>
      </w:r>
      <w:r>
        <w:rPr>
          <w:rFonts w:ascii="仿宋_GB2312" w:eastAsia="仿宋_GB2312"/>
          <w:sz w:val="32"/>
          <w:szCs w:val="32"/>
          <w:highlight w:val="none"/>
        </w:rPr>
        <w:t>2</w:t>
      </w:r>
      <w:r>
        <w:rPr>
          <w:rFonts w:hint="eastAsia" w:ascii="仿宋_GB2312" w:eastAsia="仿宋_GB2312"/>
          <w:sz w:val="32"/>
          <w:szCs w:val="32"/>
          <w:highlight w:val="none"/>
        </w:rPr>
        <w:t>份）：</w:t>
      </w:r>
    </w:p>
    <w:p>
      <w:pPr>
        <w:ind w:firstLine="640" w:firstLineChars="200"/>
        <w:rPr>
          <w:rFonts w:ascii="仿宋_GB2312" w:eastAsia="仿宋_GB2312"/>
          <w:sz w:val="32"/>
          <w:szCs w:val="32"/>
          <w:highlight w:val="none"/>
        </w:rPr>
      </w:pPr>
      <w:r>
        <w:rPr>
          <w:rFonts w:ascii="仿宋_GB2312" w:eastAsia="仿宋_GB2312"/>
          <w:sz w:val="32"/>
          <w:szCs w:val="32"/>
          <w:highlight w:val="none"/>
        </w:rPr>
        <w:t>1.2020</w:t>
      </w:r>
      <w:r>
        <w:rPr>
          <w:rFonts w:hint="eastAsia" w:ascii="仿宋_GB2312" w:eastAsia="仿宋_GB2312"/>
          <w:sz w:val="32"/>
          <w:szCs w:val="32"/>
          <w:highlight w:val="none"/>
        </w:rPr>
        <w:t>届毕业生：报名表、准考证（或免笔试通知书）、本人有效身份证、《就业推荐表》或学校开具的其他可证明2020届毕业生身份的材料以及岗位资格条件要求的其他材料。</w:t>
      </w:r>
    </w:p>
    <w:p>
      <w:pPr>
        <w:ind w:firstLine="640" w:firstLineChars="200"/>
        <w:rPr>
          <w:rFonts w:ascii="仿宋_GB2312" w:eastAsia="仿宋_GB2312"/>
          <w:sz w:val="32"/>
          <w:szCs w:val="32"/>
          <w:highlight w:val="none"/>
        </w:rPr>
      </w:pPr>
      <w:r>
        <w:rPr>
          <w:rFonts w:ascii="仿宋_GB2312" w:eastAsia="仿宋_GB2312"/>
          <w:sz w:val="32"/>
          <w:szCs w:val="32"/>
          <w:highlight w:val="none"/>
        </w:rPr>
        <w:t>2.</w:t>
      </w:r>
      <w:r>
        <w:rPr>
          <w:rFonts w:hint="eastAsia" w:ascii="仿宋_GB2312" w:eastAsia="仿宋_GB2312"/>
          <w:sz w:val="32"/>
          <w:szCs w:val="32"/>
          <w:highlight w:val="none"/>
        </w:rPr>
        <w:t>其他人员：报名表、准考证（或免笔试通知书）、本人有效身份证、个人简历、学历（位）证以及岗位资格条件要求的其他材料。其中：</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w:t>
      </w:r>
      <w:r>
        <w:rPr>
          <w:rFonts w:ascii="仿宋_GB2312" w:eastAsia="仿宋_GB2312"/>
          <w:sz w:val="32"/>
          <w:szCs w:val="32"/>
          <w:highlight w:val="none"/>
        </w:rPr>
        <w:t>1</w:t>
      </w:r>
      <w:r>
        <w:rPr>
          <w:rFonts w:hint="eastAsia" w:ascii="仿宋_GB2312" w:eastAsia="仿宋_GB2312"/>
          <w:sz w:val="32"/>
          <w:szCs w:val="32"/>
          <w:highlight w:val="none"/>
        </w:rPr>
        <w:t>）按岗位资格条件以非</w:t>
      </w:r>
      <w:r>
        <w:rPr>
          <w:rFonts w:ascii="仿宋_GB2312" w:eastAsia="仿宋_GB2312"/>
          <w:sz w:val="32"/>
          <w:szCs w:val="32"/>
          <w:highlight w:val="none"/>
        </w:rPr>
        <w:t>2020</w:t>
      </w:r>
      <w:r>
        <w:rPr>
          <w:rFonts w:hint="eastAsia" w:ascii="仿宋_GB2312" w:eastAsia="仿宋_GB2312"/>
          <w:sz w:val="32"/>
          <w:szCs w:val="32"/>
          <w:highlight w:val="none"/>
        </w:rPr>
        <w:t>年毕业的应届毕业生身份报考的，还须提供原毕业学校或各级毕业生就业主管部门</w:t>
      </w:r>
      <w:r>
        <w:rPr>
          <w:rFonts w:ascii="仿宋_GB2312" w:eastAsia="仿宋_GB2312"/>
          <w:sz w:val="32"/>
          <w:szCs w:val="32"/>
          <w:highlight w:val="none"/>
        </w:rPr>
        <w:t>(</w:t>
      </w:r>
      <w:r>
        <w:rPr>
          <w:rFonts w:hint="eastAsia" w:ascii="仿宋_GB2312" w:eastAsia="仿宋_GB2312"/>
          <w:sz w:val="32"/>
          <w:szCs w:val="32"/>
          <w:highlight w:val="none"/>
        </w:rPr>
        <w:t>毕业生就业指导服务中心</w:t>
      </w:r>
      <w:r>
        <w:rPr>
          <w:rFonts w:ascii="仿宋_GB2312" w:eastAsia="仿宋_GB2312"/>
          <w:sz w:val="32"/>
          <w:szCs w:val="32"/>
          <w:highlight w:val="none"/>
        </w:rPr>
        <w:t>)</w:t>
      </w:r>
      <w:r>
        <w:rPr>
          <w:rFonts w:hint="eastAsia" w:ascii="仿宋_GB2312" w:eastAsia="仿宋_GB2312"/>
          <w:sz w:val="32"/>
          <w:szCs w:val="32"/>
          <w:highlight w:val="none"/>
        </w:rPr>
        <w:t>或各级人才交流服务机构或各级公共就业服务机构出具的证明材料。</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（2）福建省内机关、事业单位、公立医疗卫生机构</w:t>
      </w:r>
      <w:r>
        <w:rPr>
          <w:rFonts w:hint="eastAsia" w:ascii="仿宋_GB2312" w:eastAsia="仿宋_GB2312"/>
          <w:sz w:val="32"/>
          <w:szCs w:val="32"/>
          <w:highlight w:val="none"/>
          <w:lang w:eastAsia="zh-CN"/>
        </w:rPr>
        <w:t>编内</w:t>
      </w:r>
      <w:r>
        <w:rPr>
          <w:rFonts w:hint="eastAsia" w:ascii="仿宋_GB2312" w:eastAsia="仿宋_GB2312"/>
          <w:sz w:val="32"/>
          <w:szCs w:val="32"/>
          <w:highlight w:val="none"/>
        </w:rPr>
        <w:t>工作人员须征得所在单位同意方可报名，并须在面试资格复核时提供所在单位同意报考书面证明，否则视为放弃面试资格。</w:t>
      </w:r>
    </w:p>
    <w:p>
      <w:pPr>
        <w:ind w:firstLine="640" w:firstLineChars="200"/>
        <w:outlineLvl w:val="0"/>
        <w:rPr>
          <w:rFonts w:ascii="黑体" w:hAnsi="黑体" w:eastAsia="黑体"/>
          <w:sz w:val="32"/>
          <w:szCs w:val="32"/>
          <w:highlight w:val="none"/>
        </w:rPr>
      </w:pPr>
      <w:bookmarkStart w:id="37" w:name="_Toc30212"/>
      <w:bookmarkStart w:id="38" w:name="_Toc12766"/>
      <w:r>
        <w:rPr>
          <w:rFonts w:hint="eastAsia" w:ascii="黑体" w:hAnsi="黑体" w:eastAsia="黑体"/>
          <w:sz w:val="32"/>
          <w:szCs w:val="32"/>
          <w:highlight w:val="none"/>
        </w:rPr>
        <w:t>五、年龄、资格（历）等的计算办法</w:t>
      </w:r>
      <w:bookmarkEnd w:id="37"/>
      <w:bookmarkEnd w:id="38"/>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年龄、资格（历）等要求，如无特别说明，计算至报名截止日</w:t>
      </w:r>
      <w:r>
        <w:rPr>
          <w:rFonts w:ascii="仿宋_GB2312" w:eastAsia="仿宋_GB2312"/>
          <w:sz w:val="32"/>
          <w:szCs w:val="32"/>
          <w:highlight w:val="none"/>
        </w:rPr>
        <w:t>2020</w:t>
      </w:r>
      <w:r>
        <w:rPr>
          <w:rFonts w:hint="eastAsia" w:ascii="仿宋_GB2312" w:eastAsia="仿宋_GB2312"/>
          <w:sz w:val="32"/>
          <w:szCs w:val="32"/>
          <w:highlight w:val="none"/>
        </w:rPr>
        <w:t>年</w:t>
      </w:r>
      <w:r>
        <w:rPr>
          <w:rFonts w:ascii="仿宋_GB2312" w:eastAsia="仿宋_GB2312"/>
          <w:sz w:val="32"/>
          <w:szCs w:val="32"/>
          <w:highlight w:val="none"/>
        </w:rPr>
        <w:t>7</w:t>
      </w:r>
      <w:r>
        <w:rPr>
          <w:rFonts w:hint="eastAsia" w:ascii="仿宋_GB2312" w:eastAsia="仿宋_GB2312"/>
          <w:sz w:val="32"/>
          <w:szCs w:val="32"/>
          <w:highlight w:val="none"/>
        </w:rPr>
        <w:t>月</w:t>
      </w:r>
      <w:r>
        <w:rPr>
          <w:rFonts w:ascii="仿宋_GB2312" w:eastAsia="仿宋_GB2312"/>
          <w:sz w:val="32"/>
          <w:szCs w:val="32"/>
          <w:highlight w:val="none"/>
        </w:rPr>
        <w:t>1</w:t>
      </w:r>
      <w:r>
        <w:rPr>
          <w:rFonts w:hint="eastAsia" w:ascii="仿宋_GB2312" w:eastAsia="仿宋_GB2312"/>
          <w:sz w:val="32"/>
          <w:szCs w:val="32"/>
          <w:highlight w:val="none"/>
        </w:rPr>
        <w:t>4日，如：</w:t>
      </w: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岗位要求最高年龄</w:t>
      </w:r>
      <w:r>
        <w:rPr>
          <w:rFonts w:ascii="仿宋_GB2312" w:eastAsia="仿宋_GB2312"/>
          <w:sz w:val="32"/>
          <w:szCs w:val="32"/>
          <w:highlight w:val="none"/>
        </w:rPr>
        <w:t>35</w:t>
      </w:r>
      <w:r>
        <w:rPr>
          <w:rFonts w:hint="eastAsia" w:ascii="仿宋_GB2312" w:eastAsia="仿宋_GB2312"/>
          <w:sz w:val="32"/>
          <w:szCs w:val="32"/>
          <w:highlight w:val="none"/>
        </w:rPr>
        <w:t>岁是指</w:t>
      </w:r>
      <w:r>
        <w:rPr>
          <w:rFonts w:ascii="仿宋_GB2312" w:eastAsia="仿宋_GB2312"/>
          <w:sz w:val="32"/>
          <w:szCs w:val="32"/>
          <w:highlight w:val="none"/>
        </w:rPr>
        <w:t>1984</w:t>
      </w:r>
      <w:r>
        <w:rPr>
          <w:rFonts w:hint="eastAsia" w:ascii="仿宋_GB2312" w:eastAsia="仿宋_GB2312"/>
          <w:sz w:val="32"/>
          <w:szCs w:val="32"/>
          <w:highlight w:val="none"/>
        </w:rPr>
        <w:t>年</w:t>
      </w:r>
      <w:r>
        <w:rPr>
          <w:rFonts w:ascii="仿宋_GB2312" w:eastAsia="仿宋_GB2312"/>
          <w:sz w:val="32"/>
          <w:szCs w:val="32"/>
          <w:highlight w:val="none"/>
        </w:rPr>
        <w:t>7</w:t>
      </w:r>
      <w:r>
        <w:rPr>
          <w:rFonts w:hint="eastAsia" w:ascii="仿宋_GB2312" w:eastAsia="仿宋_GB2312"/>
          <w:sz w:val="32"/>
          <w:szCs w:val="32"/>
          <w:highlight w:val="none"/>
        </w:rPr>
        <w:t>月</w:t>
      </w:r>
      <w:r>
        <w:rPr>
          <w:rFonts w:ascii="仿宋_GB2312" w:eastAsia="仿宋_GB2312"/>
          <w:sz w:val="32"/>
          <w:szCs w:val="32"/>
          <w:highlight w:val="none"/>
        </w:rPr>
        <w:t>1</w:t>
      </w:r>
      <w:r>
        <w:rPr>
          <w:rFonts w:hint="eastAsia" w:ascii="仿宋_GB2312" w:eastAsia="仿宋_GB2312"/>
          <w:sz w:val="32"/>
          <w:szCs w:val="32"/>
          <w:highlight w:val="none"/>
        </w:rPr>
        <w:t>4日（不含）之后出生的人员，其他最高年龄要求的计算方法以此类推。</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岗位要求具有</w:t>
      </w:r>
      <w:r>
        <w:rPr>
          <w:rFonts w:hint="eastAsia" w:ascii="Arial" w:hAnsi="Arial" w:eastAsia="仿宋_GB2312" w:cs="Arial"/>
          <w:sz w:val="32"/>
          <w:szCs w:val="32"/>
          <w:highlight w:val="none"/>
        </w:rPr>
        <w:t>“</w:t>
      </w:r>
      <w:r>
        <w:rPr>
          <w:rFonts w:ascii="仿宋_GB2312" w:eastAsia="仿宋_GB2312"/>
          <w:sz w:val="32"/>
          <w:szCs w:val="32"/>
          <w:highlight w:val="none"/>
        </w:rPr>
        <w:t>XX</w:t>
      </w:r>
      <w:r>
        <w:rPr>
          <w:rFonts w:hint="eastAsia" w:ascii="Arial" w:hAnsi="Arial" w:eastAsia="仿宋_GB2312" w:cs="Arial"/>
          <w:sz w:val="32"/>
          <w:szCs w:val="32"/>
          <w:highlight w:val="none"/>
        </w:rPr>
        <w:t>条件以上”</w:t>
      </w:r>
      <w:r>
        <w:rPr>
          <w:rFonts w:hint="eastAsia" w:ascii="仿宋_GB2312" w:eastAsia="仿宋_GB2312"/>
          <w:sz w:val="32"/>
          <w:szCs w:val="32"/>
          <w:highlight w:val="none"/>
        </w:rPr>
        <w:t>的，如无特别说明，是指具有</w:t>
      </w:r>
      <w:r>
        <w:rPr>
          <w:rFonts w:ascii="仿宋_GB2312" w:eastAsia="仿宋_GB2312"/>
          <w:sz w:val="32"/>
          <w:szCs w:val="32"/>
          <w:highlight w:val="none"/>
        </w:rPr>
        <w:t>XX</w:t>
      </w:r>
      <w:r>
        <w:rPr>
          <w:rFonts w:hint="eastAsia" w:ascii="仿宋_GB2312" w:eastAsia="仿宋_GB2312"/>
          <w:sz w:val="32"/>
          <w:szCs w:val="32"/>
          <w:highlight w:val="none"/>
        </w:rPr>
        <w:t>条件或</w:t>
      </w:r>
      <w:r>
        <w:rPr>
          <w:rFonts w:ascii="仿宋_GB2312" w:eastAsia="仿宋_GB2312"/>
          <w:sz w:val="32"/>
          <w:szCs w:val="32"/>
          <w:highlight w:val="none"/>
        </w:rPr>
        <w:t>XX</w:t>
      </w:r>
      <w:r>
        <w:rPr>
          <w:rFonts w:hint="eastAsia" w:ascii="仿宋_GB2312" w:eastAsia="仿宋_GB2312"/>
          <w:sz w:val="32"/>
          <w:szCs w:val="32"/>
          <w:highlight w:val="none"/>
        </w:rPr>
        <w:t>条件以上所有条件中任何一个即可。如：具有</w:t>
      </w:r>
      <w:r>
        <w:rPr>
          <w:rFonts w:ascii="仿宋_GB2312" w:eastAsia="仿宋_GB2312"/>
          <w:sz w:val="32"/>
          <w:szCs w:val="32"/>
          <w:highlight w:val="none"/>
        </w:rPr>
        <w:t>2</w:t>
      </w:r>
      <w:r>
        <w:rPr>
          <w:rFonts w:hint="eastAsia" w:ascii="仿宋_GB2312" w:eastAsia="仿宋_GB2312"/>
          <w:sz w:val="32"/>
          <w:szCs w:val="32"/>
          <w:highlight w:val="none"/>
        </w:rPr>
        <w:t>年以上工作经验指具有</w:t>
      </w:r>
      <w:r>
        <w:rPr>
          <w:rFonts w:ascii="仿宋_GB2312" w:eastAsia="仿宋_GB2312"/>
          <w:sz w:val="32"/>
          <w:szCs w:val="32"/>
          <w:highlight w:val="none"/>
        </w:rPr>
        <w:t>2</w:t>
      </w:r>
      <w:r>
        <w:rPr>
          <w:rFonts w:hint="eastAsia" w:ascii="仿宋_GB2312" w:eastAsia="仿宋_GB2312"/>
          <w:sz w:val="32"/>
          <w:szCs w:val="32"/>
          <w:highlight w:val="none"/>
        </w:rPr>
        <w:t>年或</w:t>
      </w:r>
      <w:r>
        <w:rPr>
          <w:rFonts w:ascii="仿宋_GB2312" w:eastAsia="仿宋_GB2312"/>
          <w:sz w:val="32"/>
          <w:szCs w:val="32"/>
          <w:highlight w:val="none"/>
        </w:rPr>
        <w:t>2</w:t>
      </w:r>
      <w:r>
        <w:rPr>
          <w:rFonts w:hint="eastAsia" w:ascii="仿宋_GB2312" w:eastAsia="仿宋_GB2312"/>
          <w:sz w:val="32"/>
          <w:szCs w:val="32"/>
          <w:highlight w:val="none"/>
        </w:rPr>
        <w:t>年以上工作经验；取得初级以上专业技术职务任职资格是指取得初级、中级或高级专业技术职务任职资格中的任何一项或其中两项或三项均可。</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工作经历（验）的年限计算到报名截止当月，按足年足月累计。</w:t>
      </w:r>
    </w:p>
    <w:p>
      <w:pPr>
        <w:ind w:firstLine="640" w:firstLineChars="200"/>
        <w:outlineLvl w:val="0"/>
        <w:rPr>
          <w:rFonts w:ascii="黑体" w:hAnsi="黑体" w:eastAsia="黑体"/>
          <w:sz w:val="32"/>
          <w:szCs w:val="32"/>
          <w:highlight w:val="none"/>
        </w:rPr>
      </w:pPr>
      <w:bookmarkStart w:id="39" w:name="_Toc30463"/>
      <w:bookmarkStart w:id="40" w:name="_Toc30031"/>
      <w:r>
        <w:rPr>
          <w:rFonts w:hint="eastAsia" w:ascii="黑体" w:hAnsi="黑体" w:eastAsia="黑体"/>
          <w:sz w:val="32"/>
          <w:szCs w:val="32"/>
          <w:highlight w:val="none"/>
        </w:rPr>
        <w:t>六、学历（位）认定</w:t>
      </w:r>
      <w:bookmarkEnd w:id="39"/>
      <w:bookmarkEnd w:id="40"/>
    </w:p>
    <w:p>
      <w:pPr>
        <w:ind w:firstLine="640" w:firstLineChars="200"/>
        <w:rPr>
          <w:rFonts w:ascii="仿宋_GB2312" w:eastAsia="仿宋_GB2312"/>
          <w:sz w:val="32"/>
          <w:szCs w:val="32"/>
          <w:highlight w:val="none"/>
        </w:rPr>
      </w:pPr>
      <w:bookmarkStart w:id="41" w:name="_Toc3626"/>
      <w:bookmarkStart w:id="42" w:name="_Toc31141"/>
      <w:r>
        <w:rPr>
          <w:rFonts w:hint="eastAsia" w:ascii="仿宋_GB2312" w:eastAsia="仿宋_GB2312"/>
          <w:sz w:val="32"/>
          <w:szCs w:val="32"/>
          <w:highlight w:val="none"/>
        </w:rPr>
        <w:t>岗位资格条件要求的学历</w:t>
      </w:r>
      <w:r>
        <w:rPr>
          <w:rFonts w:ascii="仿宋_GB2312" w:eastAsia="仿宋_GB2312"/>
          <w:sz w:val="32"/>
          <w:szCs w:val="32"/>
          <w:highlight w:val="none"/>
        </w:rPr>
        <w:t>(</w:t>
      </w:r>
      <w:r>
        <w:rPr>
          <w:rFonts w:hint="eastAsia" w:ascii="仿宋_GB2312" w:eastAsia="仿宋_GB2312"/>
          <w:sz w:val="32"/>
          <w:szCs w:val="32"/>
          <w:highlight w:val="none"/>
        </w:rPr>
        <w:t>位</w:t>
      </w:r>
      <w:r>
        <w:rPr>
          <w:rFonts w:ascii="仿宋_GB2312" w:eastAsia="仿宋_GB2312"/>
          <w:sz w:val="32"/>
          <w:szCs w:val="32"/>
          <w:highlight w:val="none"/>
        </w:rPr>
        <w:t>)</w:t>
      </w:r>
      <w:r>
        <w:rPr>
          <w:rFonts w:hint="eastAsia" w:ascii="仿宋_GB2312" w:eastAsia="仿宋_GB2312"/>
          <w:sz w:val="32"/>
          <w:szCs w:val="32"/>
          <w:highlight w:val="none"/>
        </w:rPr>
        <w:t>须是国家教育部门认可的国民教育毕业学历</w:t>
      </w:r>
      <w:r>
        <w:rPr>
          <w:rFonts w:ascii="仿宋_GB2312" w:eastAsia="仿宋_GB2312"/>
          <w:sz w:val="32"/>
          <w:szCs w:val="32"/>
          <w:highlight w:val="none"/>
        </w:rPr>
        <w:t>(</w:t>
      </w:r>
      <w:r>
        <w:rPr>
          <w:rFonts w:hint="eastAsia" w:ascii="仿宋_GB2312" w:eastAsia="仿宋_GB2312"/>
          <w:sz w:val="32"/>
          <w:szCs w:val="32"/>
          <w:highlight w:val="none"/>
        </w:rPr>
        <w:t>位</w:t>
      </w:r>
      <w:r>
        <w:rPr>
          <w:rFonts w:ascii="仿宋_GB2312" w:eastAsia="仿宋_GB2312"/>
          <w:sz w:val="32"/>
          <w:szCs w:val="32"/>
          <w:highlight w:val="none"/>
        </w:rPr>
        <w:t>)</w:t>
      </w:r>
      <w:r>
        <w:rPr>
          <w:rFonts w:hint="eastAsia" w:ascii="仿宋_GB2312" w:eastAsia="仿宋_GB2312"/>
          <w:sz w:val="32"/>
          <w:szCs w:val="32"/>
          <w:highlight w:val="none"/>
        </w:rPr>
        <w:t>。</w:t>
      </w:r>
    </w:p>
    <w:p>
      <w:pPr>
        <w:ind w:firstLine="643" w:firstLineChars="200"/>
        <w:outlineLvl w:val="1"/>
        <w:rPr>
          <w:rFonts w:ascii="楷体" w:hAnsi="楷体" w:eastAsia="楷体"/>
          <w:b/>
          <w:sz w:val="32"/>
          <w:szCs w:val="32"/>
          <w:highlight w:val="none"/>
        </w:rPr>
      </w:pPr>
      <w:r>
        <w:rPr>
          <w:rFonts w:hint="eastAsia" w:ascii="楷体" w:hAnsi="楷体" w:eastAsia="楷体"/>
          <w:b/>
          <w:sz w:val="32"/>
          <w:szCs w:val="32"/>
          <w:highlight w:val="none"/>
        </w:rPr>
        <w:t>（一）全日制普通教育学历（位）</w:t>
      </w:r>
      <w:bookmarkEnd w:id="41"/>
      <w:bookmarkEnd w:id="42"/>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全日制普通教育学历是指经教育部门批准的具有普通高等、中等教育招生资格的高等、中等院校或科研院所、执行普通高等、中等教育统一招生计划、通过统一招生考试录取的、按教学计划完成该学业、取得国家承认的学历。</w:t>
      </w:r>
    </w:p>
    <w:p>
      <w:pPr>
        <w:ind w:firstLine="640" w:firstLineChars="200"/>
        <w:rPr>
          <w:rFonts w:ascii="仿宋_GB2312" w:eastAsia="仿宋_GB2312"/>
          <w:sz w:val="32"/>
          <w:szCs w:val="32"/>
          <w:highlight w:val="none"/>
        </w:rPr>
      </w:pPr>
      <w:r>
        <w:rPr>
          <w:rFonts w:ascii="仿宋_GB2312" w:eastAsia="仿宋_GB2312"/>
          <w:sz w:val="32"/>
          <w:szCs w:val="32"/>
          <w:highlight w:val="none"/>
        </w:rPr>
        <w:t>2001</w:t>
      </w:r>
      <w:r>
        <w:rPr>
          <w:rFonts w:hint="eastAsia" w:ascii="仿宋_GB2312" w:eastAsia="仿宋_GB2312"/>
          <w:sz w:val="32"/>
          <w:szCs w:val="32"/>
          <w:highlight w:val="none"/>
        </w:rPr>
        <w:t>年起取得的全日制普通教育学历、</w:t>
      </w:r>
      <w:r>
        <w:rPr>
          <w:rFonts w:ascii="仿宋_GB2312" w:eastAsia="仿宋_GB2312"/>
          <w:sz w:val="32"/>
          <w:szCs w:val="32"/>
          <w:highlight w:val="none"/>
        </w:rPr>
        <w:t>2008</w:t>
      </w:r>
      <w:r>
        <w:rPr>
          <w:rFonts w:hint="eastAsia" w:ascii="仿宋_GB2312" w:eastAsia="仿宋_GB2312"/>
          <w:sz w:val="32"/>
          <w:szCs w:val="32"/>
          <w:highlight w:val="none"/>
        </w:rPr>
        <w:t>年</w:t>
      </w:r>
      <w:r>
        <w:rPr>
          <w:rFonts w:ascii="仿宋_GB2312" w:eastAsia="仿宋_GB2312"/>
          <w:sz w:val="32"/>
          <w:szCs w:val="32"/>
          <w:highlight w:val="none"/>
        </w:rPr>
        <w:t>9</w:t>
      </w:r>
      <w:r>
        <w:rPr>
          <w:rFonts w:hint="eastAsia" w:ascii="仿宋_GB2312" w:eastAsia="仿宋_GB2312"/>
          <w:sz w:val="32"/>
          <w:szCs w:val="32"/>
          <w:highlight w:val="none"/>
        </w:rPr>
        <w:t>月</w:t>
      </w:r>
      <w:r>
        <w:rPr>
          <w:rFonts w:ascii="仿宋_GB2312" w:eastAsia="仿宋_GB2312"/>
          <w:sz w:val="32"/>
          <w:szCs w:val="32"/>
          <w:highlight w:val="none"/>
        </w:rPr>
        <w:t>1</w:t>
      </w:r>
      <w:r>
        <w:rPr>
          <w:rFonts w:hint="eastAsia" w:ascii="仿宋_GB2312" w:eastAsia="仿宋_GB2312"/>
          <w:sz w:val="32"/>
          <w:szCs w:val="32"/>
          <w:highlight w:val="none"/>
        </w:rPr>
        <w:t>日之后取得的全日制普通教育学位，应在中国高等教育学生信息网</w:t>
      </w:r>
      <w:r>
        <w:rPr>
          <w:rFonts w:ascii="仿宋_GB2312" w:eastAsia="仿宋_GB2312"/>
          <w:sz w:val="32"/>
          <w:szCs w:val="32"/>
          <w:highlight w:val="none"/>
        </w:rPr>
        <w:t>(</w:t>
      </w:r>
      <w:r>
        <w:rPr>
          <w:rFonts w:hint="eastAsia" w:ascii="仿宋_GB2312" w:eastAsia="仿宋_GB2312"/>
          <w:sz w:val="32"/>
          <w:szCs w:val="32"/>
          <w:highlight w:val="none"/>
        </w:rPr>
        <w:t>简称学信网，下同，</w:t>
      </w:r>
      <w:r>
        <w:rPr>
          <w:highlight w:val="none"/>
        </w:rPr>
        <w:fldChar w:fldCharType="begin"/>
      </w:r>
      <w:r>
        <w:rPr>
          <w:highlight w:val="none"/>
        </w:rPr>
        <w:instrText xml:space="preserve"> HYPERLINK "http://www.chsi.com.cn/" \h </w:instrText>
      </w:r>
      <w:r>
        <w:rPr>
          <w:highlight w:val="none"/>
        </w:rPr>
        <w:fldChar w:fldCharType="separate"/>
      </w:r>
      <w:r>
        <w:rPr>
          <w:rStyle w:val="9"/>
          <w:rFonts w:ascii="仿宋_GB2312" w:eastAsia="仿宋_GB2312"/>
          <w:color w:val="auto"/>
          <w:sz w:val="32"/>
          <w:szCs w:val="32"/>
          <w:highlight w:val="none"/>
          <w:u w:val="none"/>
        </w:rPr>
        <w:t>http://www.chsi.com.cn/</w:t>
      </w:r>
      <w:r>
        <w:rPr>
          <w:rStyle w:val="9"/>
          <w:rFonts w:ascii="仿宋_GB2312" w:eastAsia="仿宋_GB2312"/>
          <w:color w:val="auto"/>
          <w:sz w:val="32"/>
          <w:szCs w:val="32"/>
          <w:highlight w:val="none"/>
          <w:u w:val="none"/>
        </w:rPr>
        <w:fldChar w:fldCharType="end"/>
      </w:r>
      <w:r>
        <w:rPr>
          <w:rFonts w:ascii="仿宋_GB2312" w:eastAsia="仿宋_GB2312"/>
          <w:sz w:val="32"/>
          <w:szCs w:val="32"/>
          <w:highlight w:val="none"/>
        </w:rPr>
        <w:t xml:space="preserve">) </w:t>
      </w:r>
      <w:r>
        <w:rPr>
          <w:rFonts w:hint="eastAsia" w:ascii="仿宋_GB2312" w:eastAsia="仿宋_GB2312"/>
          <w:sz w:val="32"/>
          <w:szCs w:val="32"/>
          <w:highlight w:val="none"/>
        </w:rPr>
        <w:t>、中国学位与研究生教育信息网</w:t>
      </w:r>
      <w:r>
        <w:rPr>
          <w:rFonts w:ascii="仿宋_GB2312" w:eastAsia="仿宋_GB2312"/>
          <w:sz w:val="32"/>
          <w:szCs w:val="32"/>
          <w:highlight w:val="none"/>
        </w:rPr>
        <w:t>(</w:t>
      </w:r>
      <w:r>
        <w:rPr>
          <w:rFonts w:hint="eastAsia" w:ascii="仿宋_GB2312" w:eastAsia="仿宋_GB2312"/>
          <w:sz w:val="32"/>
          <w:szCs w:val="32"/>
          <w:highlight w:val="none"/>
        </w:rPr>
        <w:t>简称学位网，下同，</w:t>
      </w:r>
      <w:r>
        <w:rPr>
          <w:highlight w:val="none"/>
        </w:rPr>
        <w:fldChar w:fldCharType="begin"/>
      </w:r>
      <w:r>
        <w:rPr>
          <w:highlight w:val="none"/>
        </w:rPr>
        <w:instrText xml:space="preserve"> HYPERLINK "http://www.cdgdc.edu.cn/" \h </w:instrText>
      </w:r>
      <w:r>
        <w:rPr>
          <w:highlight w:val="none"/>
        </w:rPr>
        <w:fldChar w:fldCharType="separate"/>
      </w:r>
      <w:r>
        <w:rPr>
          <w:rStyle w:val="9"/>
          <w:rFonts w:ascii="仿宋_GB2312" w:eastAsia="仿宋_GB2312"/>
          <w:color w:val="auto"/>
          <w:sz w:val="32"/>
          <w:szCs w:val="32"/>
          <w:highlight w:val="none"/>
          <w:u w:val="none"/>
        </w:rPr>
        <w:t>http://www.cdgdc.edu.cn/</w:t>
      </w:r>
      <w:r>
        <w:rPr>
          <w:rStyle w:val="9"/>
          <w:rFonts w:ascii="仿宋_GB2312" w:eastAsia="仿宋_GB2312"/>
          <w:color w:val="auto"/>
          <w:sz w:val="32"/>
          <w:szCs w:val="32"/>
          <w:highlight w:val="none"/>
          <w:u w:val="none"/>
        </w:rPr>
        <w:fldChar w:fldCharType="end"/>
      </w:r>
      <w:r>
        <w:rPr>
          <w:rFonts w:ascii="仿宋_GB2312" w:eastAsia="仿宋_GB2312"/>
          <w:sz w:val="32"/>
          <w:szCs w:val="32"/>
          <w:highlight w:val="none"/>
        </w:rPr>
        <w:t>)</w:t>
      </w:r>
      <w:r>
        <w:rPr>
          <w:rFonts w:hint="eastAsia" w:ascii="仿宋_GB2312" w:eastAsia="仿宋_GB2312"/>
          <w:sz w:val="32"/>
          <w:szCs w:val="32"/>
          <w:highlight w:val="none"/>
        </w:rPr>
        <w:t>上可查询认证。此前取得的全日制普通教育学历（位），必要时可由</w:t>
      </w:r>
      <w:r>
        <w:rPr>
          <w:rFonts w:hint="eastAsia" w:ascii="仿宋_GB2312" w:eastAsia="仿宋_GB2312"/>
          <w:sz w:val="32"/>
          <w:szCs w:val="32"/>
          <w:highlight w:val="none"/>
          <w:lang w:eastAsia="zh-CN"/>
        </w:rPr>
        <w:t>用人</w:t>
      </w:r>
      <w:r>
        <w:rPr>
          <w:rFonts w:hint="eastAsia" w:ascii="仿宋_GB2312" w:eastAsia="仿宋_GB2312"/>
          <w:sz w:val="32"/>
          <w:szCs w:val="32"/>
          <w:highlight w:val="none"/>
        </w:rPr>
        <w:t>单位会同</w:t>
      </w:r>
      <w:r>
        <w:rPr>
          <w:rFonts w:hint="eastAsia" w:ascii="仿宋_GB2312" w:eastAsia="仿宋_GB2312"/>
          <w:sz w:val="32"/>
          <w:szCs w:val="32"/>
          <w:highlight w:val="none"/>
          <w:lang w:eastAsia="zh-CN"/>
        </w:rPr>
        <w:t>厦门医学院</w:t>
      </w:r>
      <w:r>
        <w:rPr>
          <w:rFonts w:hint="eastAsia" w:ascii="仿宋_GB2312" w:eastAsia="仿宋_GB2312"/>
          <w:sz w:val="32"/>
          <w:szCs w:val="32"/>
          <w:highlight w:val="none"/>
        </w:rPr>
        <w:t>结合档案资料等确认。</w:t>
      </w:r>
    </w:p>
    <w:p>
      <w:pPr>
        <w:ind w:firstLine="640" w:firstLineChars="200"/>
        <w:rPr>
          <w:rFonts w:ascii="仿宋_GB2312" w:eastAsia="仿宋_GB2312"/>
          <w:sz w:val="32"/>
          <w:szCs w:val="32"/>
          <w:highlight w:val="none"/>
        </w:rPr>
      </w:pPr>
      <w:bookmarkStart w:id="43" w:name="_Toc22385"/>
      <w:bookmarkStart w:id="44" w:name="_Toc19890"/>
      <w:r>
        <w:rPr>
          <w:rFonts w:hint="eastAsia" w:ascii="仿宋_GB2312" w:eastAsia="仿宋_GB2312"/>
          <w:sz w:val="32"/>
          <w:szCs w:val="32"/>
          <w:highlight w:val="none"/>
        </w:rPr>
        <w:t>全日制普通教育</w:t>
      </w:r>
      <w:r>
        <w:rPr>
          <w:rFonts w:ascii="仿宋_GB2312" w:eastAsia="仿宋_GB2312"/>
          <w:sz w:val="32"/>
          <w:szCs w:val="32"/>
          <w:highlight w:val="none"/>
        </w:rPr>
        <w:t>2020</w:t>
      </w:r>
      <w:r>
        <w:rPr>
          <w:rFonts w:hint="eastAsia" w:ascii="仿宋_GB2312" w:eastAsia="仿宋_GB2312"/>
          <w:sz w:val="32"/>
          <w:szCs w:val="32"/>
          <w:highlight w:val="none"/>
        </w:rPr>
        <w:t>届毕业生尚未取得相应学历（位）的，可持学校出具的《就业推荐表》报名，</w:t>
      </w:r>
      <w:r>
        <w:rPr>
          <w:rFonts w:hint="eastAsia" w:ascii="仿宋_GB2312" w:hAnsi="仿宋_GB2312" w:eastAsia="仿宋_GB2312"/>
          <w:sz w:val="32"/>
          <w:szCs w:val="32"/>
          <w:highlight w:val="none"/>
        </w:rPr>
        <w:t>本科及以下学历毕业生须于</w:t>
      </w:r>
      <w:r>
        <w:rPr>
          <w:rFonts w:ascii="仿宋_GB2312" w:hAnsi="仿宋_GB2312" w:eastAsia="仿宋_GB2312"/>
          <w:sz w:val="32"/>
          <w:szCs w:val="32"/>
          <w:highlight w:val="none"/>
        </w:rPr>
        <w:t>2020</w:t>
      </w:r>
      <w:r>
        <w:rPr>
          <w:rFonts w:hint="eastAsia" w:ascii="仿宋_GB2312" w:hAnsi="仿宋_GB2312" w:eastAsia="仿宋_GB2312"/>
          <w:sz w:val="32"/>
          <w:szCs w:val="32"/>
          <w:highlight w:val="none"/>
        </w:rPr>
        <w:t>年</w:t>
      </w:r>
      <w:r>
        <w:rPr>
          <w:rFonts w:ascii="仿宋_GB2312" w:hAnsi="仿宋_GB2312" w:eastAsia="仿宋_GB2312"/>
          <w:sz w:val="32"/>
          <w:szCs w:val="32"/>
          <w:highlight w:val="none"/>
        </w:rPr>
        <w:t>9</w:t>
      </w:r>
      <w:r>
        <w:rPr>
          <w:rFonts w:hint="eastAsia" w:ascii="仿宋_GB2312" w:hAnsi="仿宋_GB2312" w:eastAsia="仿宋_GB2312"/>
          <w:sz w:val="32"/>
          <w:szCs w:val="32"/>
          <w:highlight w:val="none"/>
        </w:rPr>
        <w:t>月</w:t>
      </w:r>
      <w:r>
        <w:rPr>
          <w:rFonts w:ascii="仿宋_GB2312" w:hAnsi="仿宋_GB2312" w:eastAsia="仿宋_GB2312"/>
          <w:sz w:val="32"/>
          <w:szCs w:val="32"/>
          <w:highlight w:val="none"/>
        </w:rPr>
        <w:t>30</w:t>
      </w:r>
      <w:r>
        <w:rPr>
          <w:rFonts w:hint="eastAsia" w:ascii="仿宋_GB2312" w:hAnsi="仿宋_GB2312" w:eastAsia="仿宋_GB2312"/>
          <w:sz w:val="32"/>
          <w:szCs w:val="32"/>
          <w:highlight w:val="none"/>
        </w:rPr>
        <w:t>日前、研究生学历毕业生须于</w:t>
      </w:r>
      <w:r>
        <w:rPr>
          <w:rFonts w:ascii="仿宋_GB2312" w:hAnsi="仿宋_GB2312" w:eastAsia="仿宋_GB2312"/>
          <w:sz w:val="32"/>
          <w:szCs w:val="32"/>
          <w:highlight w:val="none"/>
        </w:rPr>
        <w:t>2020</w:t>
      </w:r>
      <w:r>
        <w:rPr>
          <w:rFonts w:hint="eastAsia" w:ascii="仿宋_GB2312" w:hAnsi="仿宋_GB2312" w:eastAsia="仿宋_GB2312"/>
          <w:sz w:val="32"/>
          <w:szCs w:val="32"/>
          <w:highlight w:val="none"/>
        </w:rPr>
        <w:t>年</w:t>
      </w:r>
      <w:r>
        <w:rPr>
          <w:rFonts w:ascii="仿宋_GB2312" w:hAnsi="仿宋_GB2312" w:eastAsia="仿宋_GB2312"/>
          <w:sz w:val="32"/>
          <w:szCs w:val="32"/>
          <w:highlight w:val="none"/>
        </w:rPr>
        <w:t>12</w:t>
      </w:r>
      <w:r>
        <w:rPr>
          <w:rFonts w:hint="eastAsia" w:ascii="仿宋_GB2312" w:hAnsi="仿宋_GB2312" w:eastAsia="仿宋_GB2312"/>
          <w:sz w:val="32"/>
          <w:szCs w:val="32"/>
          <w:highlight w:val="none"/>
        </w:rPr>
        <w:t>月</w:t>
      </w:r>
      <w:r>
        <w:rPr>
          <w:rFonts w:ascii="仿宋_GB2312" w:hAnsi="仿宋_GB2312" w:eastAsia="仿宋_GB2312"/>
          <w:sz w:val="32"/>
          <w:szCs w:val="32"/>
          <w:highlight w:val="none"/>
        </w:rPr>
        <w:t>31</w:t>
      </w:r>
      <w:r>
        <w:rPr>
          <w:rFonts w:hint="eastAsia" w:ascii="仿宋_GB2312" w:hAnsi="仿宋_GB2312" w:eastAsia="仿宋_GB2312"/>
          <w:sz w:val="32"/>
          <w:szCs w:val="32"/>
          <w:highlight w:val="none"/>
        </w:rPr>
        <w:t>日前取得并能提供</w:t>
      </w:r>
      <w:r>
        <w:rPr>
          <w:rFonts w:hint="eastAsia" w:ascii="仿宋_GB2312" w:eastAsia="仿宋_GB2312"/>
          <w:sz w:val="32"/>
          <w:szCs w:val="32"/>
          <w:highlight w:val="none"/>
        </w:rPr>
        <w:t>符合岗位报考资格条件的相应</w:t>
      </w:r>
      <w:r>
        <w:rPr>
          <w:rFonts w:hint="eastAsia" w:ascii="仿宋_GB2312" w:hAnsi="仿宋_GB2312" w:eastAsia="仿宋_GB2312"/>
          <w:sz w:val="32"/>
          <w:szCs w:val="32"/>
          <w:highlight w:val="none"/>
        </w:rPr>
        <w:t>学历（位）证书，</w:t>
      </w:r>
      <w:r>
        <w:rPr>
          <w:rFonts w:hint="eastAsia" w:ascii="仿宋_GB2312" w:eastAsia="仿宋_GB2312"/>
          <w:sz w:val="32"/>
          <w:szCs w:val="32"/>
          <w:highlight w:val="none"/>
        </w:rPr>
        <w:t>否则视为放弃考试（</w:t>
      </w:r>
      <w:r>
        <w:rPr>
          <w:rFonts w:hint="eastAsia" w:ascii="仿宋_GB2312" w:eastAsia="仿宋_GB2312"/>
          <w:sz w:val="32"/>
          <w:szCs w:val="32"/>
          <w:highlight w:val="none"/>
          <w:lang w:eastAsia="zh-CN"/>
        </w:rPr>
        <w:t>录取</w:t>
      </w:r>
      <w:r>
        <w:rPr>
          <w:rFonts w:hint="eastAsia" w:ascii="仿宋_GB2312" w:eastAsia="仿宋_GB2312"/>
          <w:sz w:val="32"/>
          <w:szCs w:val="32"/>
          <w:highlight w:val="none"/>
        </w:rPr>
        <w:t>）资格。</w:t>
      </w:r>
    </w:p>
    <w:p>
      <w:pPr>
        <w:ind w:firstLine="643" w:firstLineChars="200"/>
        <w:outlineLvl w:val="1"/>
        <w:rPr>
          <w:rFonts w:ascii="楷体" w:hAnsi="楷体" w:eastAsia="楷体"/>
          <w:b/>
          <w:sz w:val="32"/>
          <w:szCs w:val="32"/>
          <w:highlight w:val="none"/>
        </w:rPr>
      </w:pPr>
      <w:r>
        <w:rPr>
          <w:rFonts w:hint="eastAsia" w:ascii="楷体" w:hAnsi="楷体" w:eastAsia="楷体"/>
          <w:b/>
          <w:sz w:val="32"/>
          <w:szCs w:val="32"/>
          <w:highlight w:val="none"/>
        </w:rPr>
        <w:t>（二）</w:t>
      </w:r>
      <w:bookmarkStart w:id="45" w:name="境外学历（位）"/>
      <w:r>
        <w:rPr>
          <w:rFonts w:hint="eastAsia" w:ascii="楷体" w:hAnsi="楷体" w:eastAsia="楷体"/>
          <w:b/>
          <w:sz w:val="32"/>
          <w:szCs w:val="32"/>
          <w:highlight w:val="none"/>
        </w:rPr>
        <w:t>境外学历（位）</w:t>
      </w:r>
      <w:bookmarkEnd w:id="43"/>
      <w:bookmarkEnd w:id="44"/>
      <w:bookmarkEnd w:id="45"/>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持境外学历（位）报考的，需提供教育部留学服务中心出具的《国外学历学位认证书》或《香港、澳门特别行政区学历学位认证书》或《台湾地区学历学位认证书》或教育部留学服务中心出具的证明。该学历（位）可报考教育类别要求为全日制普通教育学历的岗位。</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属境内院校与境外院校联合办学取得境外学历（位）的，需提供教育部留学服务中心出具的《联合办学学历学位评估意见书》或《联合办学学历学位认证书》或《中外合作办学国外学历学位认证书》。</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境外学历（位）认证可登录中国留学网</w:t>
      </w:r>
      <w:r>
        <w:rPr>
          <w:rFonts w:ascii="仿宋_GB2312" w:eastAsia="仿宋_GB2312"/>
          <w:sz w:val="32"/>
          <w:szCs w:val="32"/>
          <w:highlight w:val="none"/>
        </w:rPr>
        <w:t>(</w:t>
      </w:r>
      <w:r>
        <w:rPr>
          <w:highlight w:val="none"/>
        </w:rPr>
        <w:fldChar w:fldCharType="begin"/>
      </w:r>
      <w:r>
        <w:rPr>
          <w:highlight w:val="none"/>
        </w:rPr>
        <w:instrText xml:space="preserve"> HYPERLINK "http://www.cscse.edu.cn" </w:instrText>
      </w:r>
      <w:r>
        <w:rPr>
          <w:highlight w:val="none"/>
        </w:rPr>
        <w:fldChar w:fldCharType="separate"/>
      </w:r>
      <w:r>
        <w:rPr>
          <w:rStyle w:val="9"/>
          <w:rFonts w:ascii="仿宋_GB2312" w:eastAsia="仿宋_GB2312"/>
          <w:color w:val="auto"/>
          <w:sz w:val="32"/>
          <w:szCs w:val="32"/>
          <w:highlight w:val="none"/>
          <w:u w:val="none"/>
        </w:rPr>
        <w:t>http://www.cscse.edu.cn</w:t>
      </w:r>
      <w:r>
        <w:rPr>
          <w:rStyle w:val="9"/>
          <w:rFonts w:ascii="仿宋_GB2312" w:eastAsia="仿宋_GB2312"/>
          <w:color w:val="auto"/>
          <w:sz w:val="32"/>
          <w:szCs w:val="32"/>
          <w:highlight w:val="none"/>
          <w:u w:val="none"/>
        </w:rPr>
        <w:fldChar w:fldCharType="end"/>
      </w:r>
      <w:r>
        <w:rPr>
          <w:rFonts w:ascii="仿宋_GB2312" w:eastAsia="仿宋_GB2312"/>
          <w:sz w:val="32"/>
          <w:szCs w:val="32"/>
          <w:highlight w:val="none"/>
        </w:rPr>
        <w:t>)</w:t>
      </w:r>
      <w:r>
        <w:rPr>
          <w:rFonts w:hint="eastAsia" w:ascii="仿宋_GB2312" w:eastAsia="仿宋_GB2312"/>
          <w:sz w:val="32"/>
          <w:szCs w:val="32"/>
          <w:highlight w:val="none"/>
        </w:rPr>
        <w:t>查询有关要求和程序。</w:t>
      </w:r>
    </w:p>
    <w:p>
      <w:pPr>
        <w:ind w:firstLine="643" w:firstLineChars="200"/>
        <w:outlineLvl w:val="1"/>
        <w:rPr>
          <w:rFonts w:ascii="楷体" w:hAnsi="楷体" w:eastAsia="楷体"/>
          <w:b/>
          <w:sz w:val="32"/>
          <w:szCs w:val="32"/>
          <w:highlight w:val="none"/>
        </w:rPr>
      </w:pPr>
      <w:bookmarkStart w:id="46" w:name="_Toc14163"/>
      <w:bookmarkStart w:id="47" w:name="_Toc18423"/>
      <w:r>
        <w:rPr>
          <w:rFonts w:hint="eastAsia" w:ascii="楷体" w:hAnsi="楷体" w:eastAsia="楷体"/>
          <w:b/>
          <w:sz w:val="32"/>
          <w:szCs w:val="32"/>
          <w:highlight w:val="none"/>
        </w:rPr>
        <w:t>（三）福建省“双学位”“双专业”教育</w:t>
      </w:r>
      <w:bookmarkEnd w:id="46"/>
      <w:bookmarkEnd w:id="47"/>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根据《关于在全省高校毕业生中试行“双学位”“双专业”教育的意见》（闽教高〔</w:t>
      </w:r>
      <w:r>
        <w:rPr>
          <w:rFonts w:ascii="仿宋_GB2312" w:eastAsia="仿宋_GB2312"/>
          <w:sz w:val="32"/>
          <w:szCs w:val="32"/>
          <w:highlight w:val="none"/>
        </w:rPr>
        <w:t>2009</w:t>
      </w:r>
      <w:r>
        <w:rPr>
          <w:rFonts w:hint="eastAsia" w:ascii="仿宋_GB2312" w:eastAsia="仿宋_GB2312"/>
          <w:sz w:val="32"/>
          <w:szCs w:val="32"/>
          <w:highlight w:val="none"/>
        </w:rPr>
        <w:t>〕</w:t>
      </w:r>
      <w:r>
        <w:rPr>
          <w:rFonts w:ascii="仿宋_GB2312" w:eastAsia="仿宋_GB2312"/>
          <w:sz w:val="32"/>
          <w:szCs w:val="32"/>
          <w:highlight w:val="none"/>
        </w:rPr>
        <w:t>9</w:t>
      </w:r>
      <w:r>
        <w:rPr>
          <w:rFonts w:hint="eastAsia" w:ascii="仿宋_GB2312" w:eastAsia="仿宋_GB2312"/>
          <w:sz w:val="32"/>
          <w:szCs w:val="32"/>
          <w:highlight w:val="none"/>
        </w:rPr>
        <w:t>号），经修读达到毕业条件并获得“双学位”“双专业”证书的报考者，在本省范围内承认其学历、学位。此类学历（位），须在“福建省‘双学位’、‘双专业’毕业生学位证书、毕业证书信息查询”平台（</w:t>
      </w:r>
      <w:r>
        <w:rPr>
          <w:rStyle w:val="9"/>
          <w:rFonts w:ascii="仿宋_GB2312" w:eastAsia="仿宋_GB2312"/>
          <w:color w:val="auto"/>
          <w:sz w:val="32"/>
          <w:szCs w:val="32"/>
          <w:highlight w:val="none"/>
          <w:u w:val="none"/>
        </w:rPr>
        <w:t>http://jyt.fujian.gov.cn/wsbs/bmcx/sxwszy/</w:t>
      </w:r>
      <w:r>
        <w:rPr>
          <w:rFonts w:hint="eastAsia" w:ascii="仿宋_GB2312" w:eastAsia="仿宋_GB2312"/>
          <w:sz w:val="32"/>
          <w:szCs w:val="32"/>
          <w:highlight w:val="none"/>
        </w:rPr>
        <w:t>）上电子注册并可进行查验或按规定经过学历</w:t>
      </w:r>
      <w:r>
        <w:rPr>
          <w:rFonts w:ascii="仿宋_GB2312" w:eastAsia="仿宋_GB2312"/>
          <w:sz w:val="32"/>
          <w:szCs w:val="32"/>
          <w:highlight w:val="none"/>
        </w:rPr>
        <w:t>(</w:t>
      </w:r>
      <w:r>
        <w:rPr>
          <w:rFonts w:hint="eastAsia" w:ascii="仿宋_GB2312" w:eastAsia="仿宋_GB2312"/>
          <w:sz w:val="32"/>
          <w:szCs w:val="32"/>
          <w:highlight w:val="none"/>
        </w:rPr>
        <w:t>位</w:t>
      </w:r>
      <w:r>
        <w:rPr>
          <w:rFonts w:ascii="仿宋_GB2312" w:eastAsia="仿宋_GB2312"/>
          <w:sz w:val="32"/>
          <w:szCs w:val="32"/>
          <w:highlight w:val="none"/>
        </w:rPr>
        <w:t>)</w:t>
      </w:r>
      <w:r>
        <w:rPr>
          <w:rFonts w:hint="eastAsia" w:ascii="仿宋_GB2312" w:eastAsia="仿宋_GB2312"/>
          <w:sz w:val="32"/>
          <w:szCs w:val="32"/>
          <w:highlight w:val="none"/>
        </w:rPr>
        <w:t>认证。</w:t>
      </w:r>
    </w:p>
    <w:p>
      <w:pPr>
        <w:ind w:firstLine="643" w:firstLineChars="200"/>
        <w:outlineLvl w:val="1"/>
        <w:rPr>
          <w:rFonts w:ascii="楷体" w:hAnsi="楷体" w:eastAsia="楷体"/>
          <w:b/>
          <w:sz w:val="32"/>
          <w:szCs w:val="32"/>
          <w:highlight w:val="none"/>
        </w:rPr>
      </w:pPr>
      <w:bookmarkStart w:id="48" w:name="_Toc28233"/>
      <w:bookmarkStart w:id="49" w:name="_Toc26431"/>
      <w:r>
        <w:rPr>
          <w:rFonts w:hint="eastAsia" w:ascii="楷体" w:hAnsi="楷体" w:eastAsia="楷体"/>
          <w:b/>
          <w:sz w:val="32"/>
          <w:szCs w:val="32"/>
          <w:highlight w:val="none"/>
        </w:rPr>
        <w:t>（四）辅修专业学历（位）</w:t>
      </w:r>
      <w:bookmarkEnd w:id="48"/>
      <w:bookmarkEnd w:id="49"/>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除了明确要求全日制普通教育的岗位，报考者可以按照本人收录在“学信网”的辅修专业进行报考，同时辅修专业对应的学位应在“学位网”上可查询。福建省教育厅网站“福建省高等学校《辅修专业证书》信息查询”窗口（</w:t>
      </w:r>
      <w:r>
        <w:rPr>
          <w:rFonts w:ascii="仿宋_GB2312" w:eastAsia="仿宋_GB2312"/>
          <w:sz w:val="32"/>
          <w:szCs w:val="32"/>
          <w:highlight w:val="none"/>
        </w:rPr>
        <w:t>http://jyt.fujian.gov.cn/wsbs/bmcx/fxzy/</w:t>
      </w:r>
      <w:r>
        <w:rPr>
          <w:rFonts w:hint="eastAsia" w:ascii="仿宋_GB2312" w:eastAsia="仿宋_GB2312"/>
          <w:sz w:val="32"/>
          <w:szCs w:val="32"/>
          <w:highlight w:val="none"/>
        </w:rPr>
        <w:t>）电子注册的《辅修专业证书》，不作为报考岗位所需专业对应的学历和学位的查询依据。</w:t>
      </w:r>
    </w:p>
    <w:p>
      <w:pPr>
        <w:ind w:firstLine="643" w:firstLineChars="200"/>
        <w:outlineLvl w:val="1"/>
        <w:rPr>
          <w:rFonts w:ascii="楷体" w:hAnsi="楷体" w:eastAsia="楷体"/>
          <w:b/>
          <w:sz w:val="32"/>
          <w:szCs w:val="32"/>
          <w:highlight w:val="none"/>
        </w:rPr>
      </w:pPr>
      <w:bookmarkStart w:id="50" w:name="_Toc29962"/>
      <w:bookmarkStart w:id="51" w:name="_Toc15946"/>
      <w:r>
        <w:rPr>
          <w:rFonts w:hint="eastAsia" w:ascii="楷体" w:hAnsi="楷体" w:eastAsia="楷体"/>
          <w:b/>
          <w:sz w:val="32"/>
          <w:szCs w:val="32"/>
          <w:highlight w:val="none"/>
        </w:rPr>
        <w:t>（五）其他学历（位）</w:t>
      </w:r>
      <w:bookmarkEnd w:id="50"/>
      <w:bookmarkEnd w:id="51"/>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持自学考试、成人教育、网络教育、夜大、电大等学历（位）报考者，其学历应在“学信网”上可查询认证；</w:t>
      </w: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岗位有学位条件要求的，其学位应在“学位网”上可查询认证。</w:t>
      </w:r>
    </w:p>
    <w:p>
      <w:pPr>
        <w:ind w:firstLine="643" w:firstLineChars="200"/>
        <w:outlineLvl w:val="1"/>
        <w:rPr>
          <w:rFonts w:ascii="楷体" w:hAnsi="楷体" w:eastAsia="楷体"/>
          <w:b/>
          <w:sz w:val="32"/>
          <w:szCs w:val="32"/>
          <w:highlight w:val="none"/>
        </w:rPr>
      </w:pPr>
      <w:bookmarkStart w:id="52" w:name="_Toc3634"/>
      <w:bookmarkStart w:id="53" w:name="_Toc16941"/>
      <w:r>
        <w:rPr>
          <w:rFonts w:hint="eastAsia" w:ascii="楷体" w:hAnsi="楷体" w:eastAsia="楷体"/>
          <w:b/>
          <w:sz w:val="32"/>
          <w:szCs w:val="32"/>
          <w:highlight w:val="none"/>
        </w:rPr>
        <w:t>（六）提醒事项</w:t>
      </w:r>
      <w:bookmarkEnd w:id="52"/>
      <w:bookmarkEnd w:id="53"/>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资格复核时，</w:t>
      </w:r>
      <w:r>
        <w:rPr>
          <w:rFonts w:hint="eastAsia" w:ascii="仿宋_GB2312" w:eastAsia="仿宋_GB2312"/>
          <w:sz w:val="32"/>
          <w:szCs w:val="32"/>
          <w:highlight w:val="none"/>
          <w:lang w:eastAsia="zh-CN"/>
        </w:rPr>
        <w:t>用人</w:t>
      </w:r>
      <w:r>
        <w:rPr>
          <w:rFonts w:hint="eastAsia" w:ascii="仿宋_GB2312" w:eastAsia="仿宋_GB2312"/>
          <w:sz w:val="32"/>
          <w:szCs w:val="32"/>
          <w:highlight w:val="none"/>
        </w:rPr>
        <w:t>单位将对学历（位）</w:t>
      </w:r>
      <w:r>
        <w:rPr>
          <w:rFonts w:hint="eastAsia" w:ascii="仿宋_GB2312" w:eastAsia="仿宋_GB2312"/>
          <w:sz w:val="32"/>
          <w:szCs w:val="32"/>
          <w:highlight w:val="none"/>
          <w:lang w:val="en-US" w:eastAsia="zh-CN"/>
        </w:rPr>
        <w:t>情况</w:t>
      </w:r>
      <w:r>
        <w:rPr>
          <w:rFonts w:hint="eastAsia" w:ascii="仿宋_GB2312" w:eastAsia="仿宋_GB2312"/>
          <w:sz w:val="32"/>
          <w:szCs w:val="32"/>
          <w:highlight w:val="none"/>
        </w:rPr>
        <w:t>进行核查，请报考者按照上述要求，提前做好相应认证报告或网上查验准备。</w:t>
      </w:r>
    </w:p>
    <w:p>
      <w:pPr>
        <w:ind w:firstLine="640" w:firstLineChars="200"/>
        <w:outlineLvl w:val="0"/>
        <w:rPr>
          <w:rFonts w:ascii="黑体" w:hAnsi="黑体" w:eastAsia="黑体"/>
          <w:sz w:val="32"/>
          <w:szCs w:val="32"/>
          <w:highlight w:val="none"/>
        </w:rPr>
      </w:pPr>
      <w:bookmarkStart w:id="54" w:name="_Toc10962"/>
      <w:bookmarkStart w:id="55" w:name="_Toc28427"/>
      <w:r>
        <w:rPr>
          <w:rFonts w:hint="eastAsia" w:ascii="黑体" w:hAnsi="黑体" w:eastAsia="黑体"/>
          <w:sz w:val="32"/>
          <w:szCs w:val="32"/>
          <w:highlight w:val="none"/>
        </w:rPr>
        <w:t>七、专业认定</w:t>
      </w:r>
      <w:bookmarkEnd w:id="54"/>
      <w:bookmarkEnd w:id="55"/>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本次</w:t>
      </w: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考试以《福建省机关事业单位招考专业指导目录（</w:t>
      </w:r>
      <w:r>
        <w:rPr>
          <w:rFonts w:ascii="仿宋_GB2312" w:eastAsia="仿宋_GB2312"/>
          <w:sz w:val="32"/>
          <w:szCs w:val="32"/>
          <w:highlight w:val="none"/>
        </w:rPr>
        <w:t>2020</w:t>
      </w:r>
      <w:r>
        <w:rPr>
          <w:rFonts w:hint="eastAsia" w:ascii="仿宋_GB2312" w:eastAsia="仿宋_GB2312"/>
          <w:sz w:val="32"/>
          <w:szCs w:val="32"/>
          <w:highlight w:val="none"/>
        </w:rPr>
        <w:t>年）》（以下简称《专业指导目录》）作为岗位专业条件设置和审核的依据。</w:t>
      </w:r>
    </w:p>
    <w:p>
      <w:pPr>
        <w:ind w:firstLine="643" w:firstLineChars="200"/>
        <w:outlineLvl w:val="1"/>
        <w:rPr>
          <w:rFonts w:ascii="楷体" w:hAnsi="楷体" w:eastAsia="楷体"/>
          <w:b/>
          <w:sz w:val="32"/>
          <w:szCs w:val="32"/>
          <w:highlight w:val="none"/>
        </w:rPr>
      </w:pPr>
      <w:bookmarkStart w:id="56" w:name="_Toc19867"/>
      <w:bookmarkStart w:id="57" w:name="_Toc12880"/>
      <w:r>
        <w:rPr>
          <w:rFonts w:hint="eastAsia" w:ascii="楷体" w:hAnsi="楷体" w:eastAsia="楷体"/>
          <w:b/>
          <w:sz w:val="32"/>
          <w:szCs w:val="32"/>
          <w:highlight w:val="none"/>
        </w:rPr>
        <w:t>（一）填报专业名称</w:t>
      </w:r>
      <w:bookmarkEnd w:id="56"/>
      <w:bookmarkEnd w:id="57"/>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报考者报名时应严格按照所持学历（位）证书（认证报告）所注明专业只字不差、如实填写所学专业。其中，全日制普通教育学历所学专业以毕业证书为准，非全日制普通教育学历和境外学历（位）所学专业以教育部学历（位）认证部门出具的认证报告为准，福建省的“双学位”“双专业”教育以福建省教育厅“福建省‘双学位’、‘双专业’毕业生学位证书、毕业证书信息查询”平台所查询信息为准。</w:t>
      </w:r>
    </w:p>
    <w:p>
      <w:pPr>
        <w:ind w:firstLine="643" w:firstLineChars="200"/>
        <w:outlineLvl w:val="1"/>
        <w:rPr>
          <w:rFonts w:ascii="楷体" w:hAnsi="楷体" w:eastAsia="楷体"/>
          <w:b/>
          <w:sz w:val="32"/>
          <w:szCs w:val="32"/>
          <w:highlight w:val="none"/>
        </w:rPr>
      </w:pPr>
      <w:bookmarkStart w:id="58" w:name="_Toc28824"/>
      <w:bookmarkStart w:id="59" w:name="_Toc10355"/>
      <w:r>
        <w:rPr>
          <w:rFonts w:hint="eastAsia" w:ascii="楷体" w:hAnsi="楷体" w:eastAsia="楷体"/>
          <w:b/>
          <w:sz w:val="32"/>
          <w:szCs w:val="32"/>
          <w:highlight w:val="none"/>
        </w:rPr>
        <w:t>（二）</w:t>
      </w:r>
      <w:bookmarkStart w:id="60" w:name="专业与学历（位）的对应关系"/>
      <w:r>
        <w:rPr>
          <w:rFonts w:hint="eastAsia" w:ascii="楷体" w:hAnsi="楷体" w:eastAsia="楷体"/>
          <w:b/>
          <w:sz w:val="32"/>
          <w:szCs w:val="32"/>
          <w:highlight w:val="none"/>
        </w:rPr>
        <w:t>专业与学历（位）的对应关系</w:t>
      </w:r>
      <w:bookmarkEnd w:id="58"/>
      <w:bookmarkEnd w:id="59"/>
    </w:p>
    <w:bookmarkEnd w:id="60"/>
    <w:p>
      <w:pPr>
        <w:ind w:firstLine="640" w:firstLineChars="200"/>
        <w:rPr>
          <w:rFonts w:ascii="仿宋_GB2312" w:eastAsia="仿宋_GB2312"/>
          <w:sz w:val="32"/>
          <w:szCs w:val="32"/>
          <w:highlight w:val="none"/>
        </w:rPr>
      </w:pPr>
      <w:bookmarkStart w:id="61" w:name="_Toc11369"/>
      <w:bookmarkStart w:id="62" w:name="_Toc1729"/>
      <w:r>
        <w:rPr>
          <w:rFonts w:hint="eastAsia" w:ascii="仿宋_GB2312" w:eastAsia="仿宋_GB2312"/>
          <w:sz w:val="32"/>
          <w:szCs w:val="32"/>
          <w:highlight w:val="none"/>
        </w:rPr>
        <w:t>岗位资格条件要求的学历</w:t>
      </w:r>
      <w:r>
        <w:rPr>
          <w:rFonts w:ascii="仿宋_GB2312" w:eastAsia="仿宋_GB2312"/>
          <w:sz w:val="32"/>
          <w:szCs w:val="32"/>
          <w:highlight w:val="none"/>
        </w:rPr>
        <w:t>(</w:t>
      </w:r>
      <w:r>
        <w:rPr>
          <w:rFonts w:hint="eastAsia" w:ascii="仿宋_GB2312" w:eastAsia="仿宋_GB2312"/>
          <w:sz w:val="32"/>
          <w:szCs w:val="32"/>
          <w:highlight w:val="none"/>
        </w:rPr>
        <w:t>位</w:t>
      </w:r>
      <w:r>
        <w:rPr>
          <w:rFonts w:ascii="仿宋_GB2312" w:eastAsia="仿宋_GB2312"/>
          <w:sz w:val="32"/>
          <w:szCs w:val="32"/>
          <w:highlight w:val="none"/>
        </w:rPr>
        <w:t>)</w:t>
      </w:r>
      <w:r>
        <w:rPr>
          <w:rFonts w:hint="eastAsia" w:ascii="仿宋_GB2312" w:eastAsia="仿宋_GB2312"/>
          <w:sz w:val="32"/>
          <w:szCs w:val="32"/>
          <w:highlight w:val="none"/>
        </w:rPr>
        <w:t>须为岗位所要求的专业对应的学历</w:t>
      </w:r>
      <w:r>
        <w:rPr>
          <w:rFonts w:ascii="仿宋_GB2312" w:eastAsia="仿宋_GB2312"/>
          <w:sz w:val="32"/>
          <w:szCs w:val="32"/>
          <w:highlight w:val="none"/>
        </w:rPr>
        <w:t>(</w:t>
      </w:r>
      <w:r>
        <w:rPr>
          <w:rFonts w:hint="eastAsia" w:ascii="仿宋_GB2312" w:eastAsia="仿宋_GB2312"/>
          <w:sz w:val="32"/>
          <w:szCs w:val="32"/>
          <w:highlight w:val="none"/>
        </w:rPr>
        <w:t>位</w:t>
      </w:r>
      <w:r>
        <w:rPr>
          <w:rFonts w:ascii="仿宋_GB2312" w:eastAsia="仿宋_GB2312"/>
          <w:sz w:val="32"/>
          <w:szCs w:val="32"/>
          <w:highlight w:val="none"/>
        </w:rPr>
        <w:t>)</w:t>
      </w:r>
      <w:r>
        <w:rPr>
          <w:rFonts w:hint="eastAsia" w:ascii="仿宋_GB2312" w:eastAsia="仿宋_GB2312"/>
          <w:sz w:val="32"/>
          <w:szCs w:val="32"/>
          <w:highlight w:val="none"/>
        </w:rPr>
        <w:t>及以上学历</w:t>
      </w:r>
      <w:r>
        <w:rPr>
          <w:rFonts w:ascii="仿宋_GB2312" w:eastAsia="仿宋_GB2312"/>
          <w:sz w:val="32"/>
          <w:szCs w:val="32"/>
          <w:highlight w:val="none"/>
        </w:rPr>
        <w:t>(</w:t>
      </w:r>
      <w:r>
        <w:rPr>
          <w:rFonts w:hint="eastAsia" w:ascii="仿宋_GB2312" w:eastAsia="仿宋_GB2312"/>
          <w:sz w:val="32"/>
          <w:szCs w:val="32"/>
          <w:highlight w:val="none"/>
        </w:rPr>
        <w:t>位</w:t>
      </w:r>
      <w:r>
        <w:rPr>
          <w:rFonts w:ascii="仿宋_GB2312" w:eastAsia="仿宋_GB2312"/>
          <w:sz w:val="32"/>
          <w:szCs w:val="32"/>
          <w:highlight w:val="none"/>
        </w:rPr>
        <w:t>)</w:t>
      </w:r>
      <w:r>
        <w:rPr>
          <w:rFonts w:hint="eastAsia" w:ascii="仿宋_GB2312" w:eastAsia="仿宋_GB2312"/>
          <w:sz w:val="32"/>
          <w:szCs w:val="32"/>
          <w:highlight w:val="none"/>
        </w:rPr>
        <w:t>。报考者如已符合岗位资格条件中最低学历</w:t>
      </w:r>
      <w:r>
        <w:rPr>
          <w:rFonts w:ascii="仿宋_GB2312" w:eastAsia="仿宋_GB2312"/>
          <w:sz w:val="32"/>
          <w:szCs w:val="32"/>
          <w:highlight w:val="none"/>
        </w:rPr>
        <w:t>(</w:t>
      </w:r>
      <w:r>
        <w:rPr>
          <w:rFonts w:hint="eastAsia" w:ascii="仿宋_GB2312" w:eastAsia="仿宋_GB2312"/>
          <w:sz w:val="32"/>
          <w:szCs w:val="32"/>
          <w:highlight w:val="none"/>
        </w:rPr>
        <w:t>位</w:t>
      </w:r>
      <w:r>
        <w:rPr>
          <w:rFonts w:ascii="仿宋_GB2312" w:eastAsia="仿宋_GB2312"/>
          <w:sz w:val="32"/>
          <w:szCs w:val="32"/>
          <w:highlight w:val="none"/>
        </w:rPr>
        <w:t>)</w:t>
      </w:r>
      <w:r>
        <w:rPr>
          <w:rFonts w:hint="eastAsia" w:ascii="仿宋_GB2312" w:eastAsia="仿宋_GB2312"/>
          <w:sz w:val="32"/>
          <w:szCs w:val="32"/>
          <w:highlight w:val="none"/>
        </w:rPr>
        <w:t>要求而持有岗位专业要求的同级或更高级学历</w:t>
      </w:r>
      <w:r>
        <w:rPr>
          <w:rFonts w:ascii="仿宋_GB2312" w:eastAsia="仿宋_GB2312"/>
          <w:sz w:val="32"/>
          <w:szCs w:val="32"/>
          <w:highlight w:val="none"/>
        </w:rPr>
        <w:t>(</w:t>
      </w:r>
      <w:r>
        <w:rPr>
          <w:rFonts w:hint="eastAsia" w:ascii="仿宋_GB2312" w:eastAsia="仿宋_GB2312"/>
          <w:sz w:val="32"/>
          <w:szCs w:val="32"/>
          <w:highlight w:val="none"/>
        </w:rPr>
        <w:t>位</w:t>
      </w:r>
      <w:r>
        <w:rPr>
          <w:rFonts w:ascii="仿宋_GB2312" w:eastAsia="仿宋_GB2312"/>
          <w:sz w:val="32"/>
          <w:szCs w:val="32"/>
          <w:highlight w:val="none"/>
        </w:rPr>
        <w:t>)</w:t>
      </w:r>
      <w:r>
        <w:rPr>
          <w:rFonts w:hint="eastAsia" w:ascii="仿宋_GB2312" w:eastAsia="仿宋_GB2312"/>
          <w:sz w:val="32"/>
          <w:szCs w:val="32"/>
          <w:highlight w:val="none"/>
        </w:rPr>
        <w:t>的，也可报考。</w:t>
      </w:r>
    </w:p>
    <w:p>
      <w:pPr>
        <w:ind w:firstLine="643" w:firstLineChars="200"/>
        <w:outlineLvl w:val="1"/>
        <w:rPr>
          <w:rFonts w:ascii="楷体" w:hAnsi="楷体" w:eastAsia="楷体"/>
          <w:b/>
          <w:sz w:val="32"/>
          <w:szCs w:val="32"/>
          <w:highlight w:val="none"/>
        </w:rPr>
      </w:pPr>
      <w:r>
        <w:rPr>
          <w:rFonts w:hint="eastAsia" w:ascii="楷体" w:hAnsi="楷体" w:eastAsia="楷体"/>
          <w:b/>
          <w:sz w:val="32"/>
          <w:szCs w:val="32"/>
          <w:highlight w:val="none"/>
        </w:rPr>
        <w:t>（三）</w:t>
      </w:r>
      <w:bookmarkStart w:id="63" w:name="专业资格的认定"/>
      <w:r>
        <w:rPr>
          <w:rFonts w:hint="eastAsia" w:ascii="楷体" w:hAnsi="楷体" w:eastAsia="楷体"/>
          <w:b/>
          <w:sz w:val="32"/>
          <w:szCs w:val="32"/>
          <w:highlight w:val="none"/>
        </w:rPr>
        <w:t>专业资格的认定</w:t>
      </w:r>
      <w:bookmarkEnd w:id="61"/>
      <w:bookmarkEnd w:id="62"/>
      <w:bookmarkEnd w:id="63"/>
    </w:p>
    <w:p>
      <w:pPr>
        <w:ind w:firstLine="640" w:firstLineChars="200"/>
        <w:rPr>
          <w:rFonts w:ascii="仿宋_GB2312" w:eastAsia="仿宋_GB2312"/>
          <w:sz w:val="32"/>
          <w:szCs w:val="32"/>
          <w:highlight w:val="none"/>
        </w:rPr>
      </w:pPr>
      <w:r>
        <w:rPr>
          <w:rFonts w:ascii="仿宋_GB2312" w:eastAsia="仿宋_GB2312"/>
          <w:sz w:val="32"/>
          <w:szCs w:val="32"/>
          <w:highlight w:val="none"/>
        </w:rPr>
        <w:t>1.</w:t>
      </w:r>
      <w:r>
        <w:rPr>
          <w:rFonts w:hint="eastAsia" w:ascii="仿宋_GB2312" w:eastAsia="仿宋_GB2312"/>
          <w:sz w:val="32"/>
          <w:szCs w:val="32"/>
          <w:highlight w:val="none"/>
        </w:rPr>
        <w:t>将专业条件设置为“××类”的</w:t>
      </w: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岗位，报考者所学专业须符合《专业指导目录》中“××类”下所列专业，其他来源的专业指导目录不作为本次报考专业分类的依据；将专业条件设置为具体专业名称的，报考者所学专业须符合所列专业。</w:t>
      </w:r>
    </w:p>
    <w:p>
      <w:pPr>
        <w:ind w:firstLine="640" w:firstLineChars="200"/>
        <w:rPr>
          <w:rFonts w:ascii="仿宋_GB2312" w:hAnsi="仿宋_GB2312" w:eastAsia="仿宋_GB2312"/>
          <w:sz w:val="32"/>
          <w:szCs w:val="32"/>
          <w:highlight w:val="none"/>
        </w:rPr>
      </w:pPr>
      <w:r>
        <w:rPr>
          <w:rFonts w:hint="eastAsia" w:ascii="仿宋_GB2312" w:hAnsi="仿宋_GB2312" w:eastAsia="仿宋_GB2312"/>
          <w:sz w:val="32"/>
          <w:szCs w:val="32"/>
          <w:highlight w:val="none"/>
        </w:rPr>
        <w:t>专业条件要求“临床医学”专业的，含“临床医学”或“临床医学硕士”或“临床医学博士”专业，其他专业以此类推。</w:t>
      </w:r>
    </w:p>
    <w:p>
      <w:pPr>
        <w:ind w:firstLine="640" w:firstLineChars="200"/>
        <w:rPr>
          <w:rFonts w:ascii="仿宋_GB2312" w:eastAsia="仿宋_GB2312"/>
          <w:sz w:val="32"/>
          <w:szCs w:val="32"/>
          <w:highlight w:val="none"/>
        </w:rPr>
      </w:pPr>
      <w:bookmarkStart w:id="64" w:name="_Toc13830"/>
      <w:bookmarkStart w:id="65" w:name="_Toc10277"/>
      <w:r>
        <w:rPr>
          <w:rFonts w:ascii="仿宋_GB2312" w:eastAsia="仿宋_GB2312"/>
          <w:sz w:val="32"/>
          <w:szCs w:val="32"/>
          <w:highlight w:val="none"/>
        </w:rPr>
        <w:t>2.</w:t>
      </w:r>
      <w:r>
        <w:rPr>
          <w:rFonts w:hint="eastAsia" w:ascii="仿宋_GB2312" w:eastAsia="仿宋_GB2312"/>
          <w:sz w:val="32"/>
          <w:szCs w:val="32"/>
          <w:highlight w:val="none"/>
        </w:rPr>
        <w:t>报考岗位条件要求“专业方向”的，报考者须提供学历证、学位证、主干课程成绩表、论文发表情况、学校证明等有效凭证（下同），由</w:t>
      </w:r>
      <w:r>
        <w:rPr>
          <w:rFonts w:hint="eastAsia" w:ascii="仿宋_GB2312" w:eastAsia="仿宋_GB2312"/>
          <w:sz w:val="32"/>
          <w:szCs w:val="32"/>
          <w:highlight w:val="none"/>
          <w:lang w:eastAsia="zh-CN"/>
        </w:rPr>
        <w:t>用人</w:t>
      </w:r>
      <w:r>
        <w:rPr>
          <w:rFonts w:hint="eastAsia" w:ascii="仿宋_GB2312" w:eastAsia="仿宋_GB2312"/>
          <w:sz w:val="32"/>
          <w:szCs w:val="32"/>
          <w:highlight w:val="none"/>
        </w:rPr>
        <w:t>单位审核，必要时报</w:t>
      </w:r>
      <w:r>
        <w:rPr>
          <w:rFonts w:hint="eastAsia" w:ascii="仿宋_GB2312" w:eastAsia="仿宋_GB2312"/>
          <w:sz w:val="32"/>
          <w:szCs w:val="32"/>
          <w:highlight w:val="none"/>
          <w:lang w:val="en-US" w:eastAsia="zh-CN"/>
        </w:rPr>
        <w:t>厦门医学院</w:t>
      </w:r>
      <w:r>
        <w:rPr>
          <w:rFonts w:hint="eastAsia" w:ascii="仿宋_GB2312" w:eastAsia="仿宋_GB2312"/>
          <w:sz w:val="32"/>
          <w:szCs w:val="32"/>
          <w:highlight w:val="none"/>
        </w:rPr>
        <w:t>认定。</w:t>
      </w:r>
    </w:p>
    <w:p>
      <w:pPr>
        <w:ind w:firstLine="640" w:firstLineChars="200"/>
        <w:outlineLvl w:val="0"/>
        <w:rPr>
          <w:rFonts w:hint="eastAsia" w:ascii="仿宋_GB2312" w:eastAsia="仿宋_GB2312"/>
          <w:sz w:val="32"/>
          <w:szCs w:val="32"/>
          <w:highlight w:val="none"/>
        </w:rPr>
      </w:pPr>
      <w:r>
        <w:rPr>
          <w:rFonts w:hint="eastAsia" w:ascii="仿宋_GB2312" w:eastAsia="仿宋_GB2312"/>
          <w:sz w:val="32"/>
          <w:szCs w:val="32"/>
          <w:highlight w:val="none"/>
        </w:rPr>
        <w:t>3.若报考者所学专业不在《专业指导目录》中但与拟报考岗位所需专业“相近、相似”的，报考者须参照上述佐证“专业方向”应提供的有效凭证，由</w:t>
      </w:r>
      <w:r>
        <w:rPr>
          <w:rFonts w:hint="eastAsia" w:ascii="仿宋_GB2312" w:eastAsia="仿宋_GB2312"/>
          <w:sz w:val="32"/>
          <w:szCs w:val="32"/>
          <w:highlight w:val="none"/>
          <w:lang w:eastAsia="zh-CN"/>
        </w:rPr>
        <w:t>用人</w:t>
      </w:r>
      <w:r>
        <w:rPr>
          <w:rFonts w:hint="eastAsia" w:ascii="仿宋_GB2312" w:eastAsia="仿宋_GB2312"/>
          <w:sz w:val="32"/>
          <w:szCs w:val="32"/>
          <w:highlight w:val="none"/>
        </w:rPr>
        <w:t>单位审核后报</w:t>
      </w:r>
      <w:r>
        <w:rPr>
          <w:rFonts w:hint="eastAsia" w:ascii="仿宋_GB2312" w:eastAsia="仿宋_GB2312"/>
          <w:sz w:val="32"/>
          <w:szCs w:val="32"/>
          <w:highlight w:val="none"/>
          <w:lang w:val="en-US" w:eastAsia="zh-CN"/>
        </w:rPr>
        <w:t>厦门医学院</w:t>
      </w:r>
      <w:r>
        <w:rPr>
          <w:rFonts w:hint="eastAsia" w:ascii="仿宋_GB2312" w:eastAsia="仿宋_GB2312"/>
          <w:sz w:val="32"/>
          <w:szCs w:val="32"/>
          <w:highlight w:val="none"/>
        </w:rPr>
        <w:t>认定。报考者所学专业在《专业指导目录》中但未列入岗位所需专业要求的，不得报考该岗位。</w:t>
      </w:r>
    </w:p>
    <w:p>
      <w:pPr>
        <w:ind w:firstLine="640" w:firstLineChars="200"/>
        <w:outlineLvl w:val="0"/>
        <w:rPr>
          <w:rFonts w:ascii="黑体" w:hAnsi="黑体" w:eastAsia="黑体"/>
          <w:sz w:val="32"/>
          <w:szCs w:val="32"/>
          <w:highlight w:val="none"/>
        </w:rPr>
      </w:pPr>
      <w:r>
        <w:rPr>
          <w:rFonts w:hint="eastAsia" w:ascii="黑体" w:hAnsi="黑体" w:eastAsia="黑体"/>
          <w:sz w:val="32"/>
          <w:szCs w:val="32"/>
          <w:highlight w:val="none"/>
        </w:rPr>
        <w:t>八、</w:t>
      </w:r>
      <w:bookmarkStart w:id="66" w:name="工作经历（验）"/>
      <w:r>
        <w:rPr>
          <w:rFonts w:hint="eastAsia" w:ascii="黑体" w:hAnsi="黑体" w:eastAsia="黑体"/>
          <w:sz w:val="32"/>
          <w:szCs w:val="32"/>
          <w:highlight w:val="none"/>
        </w:rPr>
        <w:t>工作经历（验）</w:t>
      </w:r>
      <w:bookmarkEnd w:id="64"/>
      <w:bookmarkEnd w:id="65"/>
      <w:bookmarkEnd w:id="66"/>
    </w:p>
    <w:p>
      <w:pPr>
        <w:ind w:firstLine="640" w:firstLineChars="200"/>
        <w:rPr>
          <w:rFonts w:ascii="仿宋_GB2312" w:eastAsia="仿宋_GB2312"/>
          <w:sz w:val="32"/>
          <w:szCs w:val="32"/>
          <w:highlight w:val="none"/>
        </w:rPr>
      </w:pPr>
      <w:bookmarkStart w:id="67" w:name="_Toc17821"/>
      <w:bookmarkStart w:id="68" w:name="_Toc11732"/>
      <w:r>
        <w:rPr>
          <w:rFonts w:hint="eastAsia" w:ascii="仿宋_GB2312" w:eastAsia="仿宋_GB2312"/>
          <w:sz w:val="32"/>
          <w:szCs w:val="32"/>
          <w:highlight w:val="none"/>
        </w:rPr>
        <w:t>岗位资格条件要求的“工作经历”是指在党政机关、事业单位、社团组织，各类企业和非公有制单位及农村工作的经历。自谋职业、个体经营、职业见习等人员，也视为具有工作经历。</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岗位资格条件要求“岗位工作经验”的，报考者需提供养老保险缴费凭证或工资发放表等有效凭证、聘用</w:t>
      </w:r>
      <w:r>
        <w:rPr>
          <w:rFonts w:ascii="仿宋_GB2312" w:eastAsia="仿宋_GB2312"/>
          <w:sz w:val="32"/>
          <w:szCs w:val="32"/>
          <w:highlight w:val="none"/>
        </w:rPr>
        <w:t>(</w:t>
      </w:r>
      <w:r>
        <w:rPr>
          <w:rFonts w:hint="eastAsia" w:ascii="仿宋_GB2312" w:eastAsia="仿宋_GB2312"/>
          <w:sz w:val="32"/>
          <w:szCs w:val="32"/>
          <w:highlight w:val="none"/>
        </w:rPr>
        <w:t>劳动</w:t>
      </w:r>
      <w:r>
        <w:rPr>
          <w:rFonts w:ascii="仿宋_GB2312" w:eastAsia="仿宋_GB2312"/>
          <w:sz w:val="32"/>
          <w:szCs w:val="32"/>
          <w:highlight w:val="none"/>
        </w:rPr>
        <w:t>)</w:t>
      </w:r>
      <w:r>
        <w:rPr>
          <w:rFonts w:hint="eastAsia" w:ascii="仿宋_GB2312" w:eastAsia="仿宋_GB2312"/>
          <w:sz w:val="32"/>
          <w:szCs w:val="32"/>
          <w:highlight w:val="none"/>
        </w:rPr>
        <w:t>合同和所在单位出具的符合岗位条件要求的相关岗位的工作情况证明。全日制普通教育毕业生参加经市人社局核定的职业见习，若从事的工作与</w:t>
      </w: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岗位要求的专业工作经验相关，其毕业后的职业见习年限可视同工作经验年限。</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不同单位的相同（似）工作经历（验）证明可分别开具，工作年限可累计计算。</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全日制普通教育期间的社会实践经历</w:t>
      </w:r>
      <w:r>
        <w:rPr>
          <w:rFonts w:ascii="仿宋_GB2312" w:eastAsia="仿宋_GB2312"/>
          <w:sz w:val="32"/>
          <w:szCs w:val="32"/>
          <w:highlight w:val="none"/>
        </w:rPr>
        <w:t>(</w:t>
      </w:r>
      <w:r>
        <w:rPr>
          <w:rFonts w:hint="eastAsia" w:ascii="仿宋_GB2312" w:eastAsia="仿宋_GB2312"/>
          <w:sz w:val="32"/>
          <w:szCs w:val="32"/>
          <w:highlight w:val="none"/>
        </w:rPr>
        <w:t>含兼职工作等</w:t>
      </w:r>
      <w:r>
        <w:rPr>
          <w:rFonts w:ascii="仿宋_GB2312" w:eastAsia="仿宋_GB2312"/>
          <w:sz w:val="32"/>
          <w:szCs w:val="32"/>
          <w:highlight w:val="none"/>
        </w:rPr>
        <w:t>)</w:t>
      </w:r>
      <w:r>
        <w:rPr>
          <w:rFonts w:hint="eastAsia" w:ascii="仿宋_GB2312" w:eastAsia="仿宋_GB2312"/>
          <w:sz w:val="32"/>
          <w:szCs w:val="32"/>
          <w:highlight w:val="none"/>
        </w:rPr>
        <w:t>，不能视为工作经历</w:t>
      </w:r>
      <w:r>
        <w:rPr>
          <w:rFonts w:ascii="仿宋_GB2312" w:eastAsia="仿宋_GB2312"/>
          <w:sz w:val="32"/>
          <w:szCs w:val="32"/>
          <w:highlight w:val="none"/>
        </w:rPr>
        <w:t>(</w:t>
      </w:r>
      <w:r>
        <w:rPr>
          <w:rFonts w:hint="eastAsia" w:ascii="仿宋_GB2312" w:eastAsia="仿宋_GB2312"/>
          <w:sz w:val="32"/>
          <w:szCs w:val="32"/>
          <w:highlight w:val="none"/>
        </w:rPr>
        <w:t>验</w:t>
      </w:r>
      <w:r>
        <w:rPr>
          <w:rFonts w:ascii="仿宋_GB2312" w:eastAsia="仿宋_GB2312"/>
          <w:sz w:val="32"/>
          <w:szCs w:val="32"/>
          <w:highlight w:val="none"/>
        </w:rPr>
        <w:t>)</w:t>
      </w:r>
      <w:r>
        <w:rPr>
          <w:rFonts w:hint="eastAsia" w:ascii="仿宋_GB2312" w:eastAsia="仿宋_GB2312"/>
          <w:sz w:val="32"/>
          <w:szCs w:val="32"/>
          <w:highlight w:val="none"/>
        </w:rPr>
        <w:t>。</w:t>
      </w:r>
    </w:p>
    <w:p>
      <w:pPr>
        <w:ind w:firstLine="640" w:firstLineChars="200"/>
        <w:outlineLvl w:val="0"/>
        <w:rPr>
          <w:rFonts w:ascii="黑体" w:hAnsi="黑体" w:eastAsia="黑体"/>
          <w:sz w:val="32"/>
          <w:szCs w:val="32"/>
          <w:highlight w:val="none"/>
        </w:rPr>
      </w:pPr>
      <w:r>
        <w:rPr>
          <w:rFonts w:hint="eastAsia" w:ascii="黑体" w:hAnsi="黑体" w:eastAsia="黑体"/>
          <w:sz w:val="32"/>
          <w:szCs w:val="32"/>
          <w:highlight w:val="none"/>
        </w:rPr>
        <w:t>九、</w:t>
      </w:r>
      <w:bookmarkStart w:id="69" w:name="笔试加分"/>
      <w:r>
        <w:rPr>
          <w:rFonts w:hint="eastAsia" w:ascii="黑体" w:hAnsi="黑体" w:eastAsia="黑体"/>
          <w:sz w:val="32"/>
          <w:szCs w:val="32"/>
          <w:highlight w:val="none"/>
        </w:rPr>
        <w:t>笔试加分</w:t>
      </w:r>
      <w:bookmarkEnd w:id="67"/>
      <w:bookmarkEnd w:id="68"/>
      <w:bookmarkEnd w:id="69"/>
    </w:p>
    <w:p>
      <w:pPr>
        <w:ind w:firstLine="643" w:firstLineChars="200"/>
        <w:outlineLvl w:val="1"/>
        <w:rPr>
          <w:rFonts w:hint="eastAsia" w:ascii="楷体" w:hAnsi="楷体" w:eastAsia="楷体"/>
          <w:b/>
          <w:sz w:val="32"/>
          <w:szCs w:val="32"/>
          <w:highlight w:val="none"/>
        </w:rPr>
      </w:pPr>
      <w:bookmarkStart w:id="70" w:name="_Toc2775"/>
      <w:bookmarkStart w:id="71" w:name="_Toc24269"/>
      <w:r>
        <w:rPr>
          <w:rFonts w:hint="eastAsia" w:ascii="楷体" w:hAnsi="楷体" w:eastAsia="楷体"/>
          <w:b/>
          <w:sz w:val="32"/>
          <w:szCs w:val="32"/>
          <w:highlight w:val="none"/>
        </w:rPr>
        <w:t>（一）加分原则</w:t>
      </w:r>
      <w:bookmarkEnd w:id="70"/>
      <w:bookmarkEnd w:id="71"/>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加分仅限于笔试卷面分，免笔试人员在面试环节不享受加分。加分不受笔试满分限制。各项加分可累计计算，但累计最高不超过</w:t>
      </w:r>
      <w:r>
        <w:rPr>
          <w:rFonts w:ascii="仿宋_GB2312" w:eastAsia="仿宋_GB2312"/>
          <w:sz w:val="32"/>
          <w:szCs w:val="32"/>
          <w:highlight w:val="none"/>
        </w:rPr>
        <w:t>10</w:t>
      </w:r>
      <w:r>
        <w:rPr>
          <w:rFonts w:hint="eastAsia" w:ascii="仿宋_GB2312" w:eastAsia="仿宋_GB2312"/>
          <w:sz w:val="32"/>
          <w:szCs w:val="32"/>
          <w:highlight w:val="none"/>
        </w:rPr>
        <w:t>分。曾通过享受政策待遇被录（聘）为公务员或事业单位编内工作人员的，不再享受相应项目的加分。</w:t>
      </w:r>
    </w:p>
    <w:p>
      <w:pPr>
        <w:ind w:firstLine="643" w:firstLineChars="200"/>
        <w:outlineLvl w:val="1"/>
        <w:rPr>
          <w:rFonts w:hint="eastAsia" w:ascii="楷体" w:hAnsi="楷体" w:eastAsia="楷体"/>
          <w:b/>
          <w:sz w:val="32"/>
          <w:szCs w:val="32"/>
          <w:highlight w:val="none"/>
        </w:rPr>
      </w:pPr>
      <w:bookmarkStart w:id="72" w:name="_Toc15001"/>
      <w:bookmarkStart w:id="73" w:name="_Toc16321"/>
      <w:r>
        <w:rPr>
          <w:rFonts w:hint="eastAsia" w:ascii="楷体" w:hAnsi="楷体" w:eastAsia="楷体"/>
          <w:b/>
          <w:sz w:val="32"/>
          <w:szCs w:val="32"/>
          <w:highlight w:val="none"/>
        </w:rPr>
        <w:t>（二）加分政策</w:t>
      </w:r>
      <w:bookmarkEnd w:id="72"/>
      <w:bookmarkEnd w:id="73"/>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符合加分政策等的报考者享受笔试加分待遇：</w:t>
      </w:r>
    </w:p>
    <w:p>
      <w:pPr>
        <w:ind w:left="643"/>
        <w:rPr>
          <w:rFonts w:ascii="楷体" w:hAnsi="楷体" w:eastAsia="楷体" w:cs="楷体"/>
          <w:b/>
          <w:bCs/>
          <w:sz w:val="32"/>
          <w:szCs w:val="32"/>
          <w:highlight w:val="none"/>
        </w:rPr>
      </w:pPr>
      <w:bookmarkStart w:id="74" w:name="_Toc21369"/>
      <w:r>
        <w:rPr>
          <w:rFonts w:ascii="楷体" w:hAnsi="楷体" w:eastAsia="楷体" w:cs="楷体"/>
          <w:b/>
          <w:bCs/>
          <w:sz w:val="32"/>
          <w:szCs w:val="32"/>
          <w:highlight w:val="none"/>
        </w:rPr>
        <w:t>1.</w:t>
      </w:r>
      <w:r>
        <w:rPr>
          <w:rFonts w:hint="eastAsia" w:ascii="楷体" w:hAnsi="楷体" w:eastAsia="楷体" w:cs="楷体"/>
          <w:b/>
          <w:bCs/>
          <w:sz w:val="32"/>
          <w:szCs w:val="32"/>
          <w:highlight w:val="none"/>
        </w:rPr>
        <w:t>服务基层项目高校毕业人员</w:t>
      </w:r>
      <w:bookmarkEnd w:id="74"/>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参加国家和福建省组织实施的“三支一扶”计划、“志愿服务西部计划”（含研究生支教团）、“志愿服务欠发达地区计划”和“服务社区计划”，服务期限为</w:t>
      </w:r>
      <w:r>
        <w:rPr>
          <w:rFonts w:ascii="仿宋_GB2312" w:eastAsia="仿宋_GB2312"/>
          <w:sz w:val="32"/>
          <w:szCs w:val="32"/>
          <w:highlight w:val="none"/>
        </w:rPr>
        <w:t>1</w:t>
      </w:r>
      <w:r>
        <w:rPr>
          <w:rFonts w:hint="eastAsia" w:ascii="仿宋_GB2312" w:eastAsia="仿宋_GB2312"/>
          <w:sz w:val="32"/>
          <w:szCs w:val="32"/>
          <w:highlight w:val="none"/>
        </w:rPr>
        <w:t>年及以上且于报名截止日</w:t>
      </w:r>
      <w:r>
        <w:rPr>
          <w:rFonts w:ascii="仿宋_GB2312" w:eastAsia="仿宋_GB2312"/>
          <w:sz w:val="32"/>
          <w:szCs w:val="32"/>
          <w:highlight w:val="none"/>
        </w:rPr>
        <w:t>2020</w:t>
      </w:r>
      <w:r>
        <w:rPr>
          <w:rFonts w:hint="eastAsia" w:ascii="仿宋_GB2312" w:eastAsia="仿宋_GB2312"/>
          <w:sz w:val="32"/>
          <w:szCs w:val="32"/>
          <w:highlight w:val="none"/>
        </w:rPr>
        <w:t>年</w:t>
      </w:r>
      <w:r>
        <w:rPr>
          <w:rFonts w:ascii="仿宋_GB2312" w:eastAsia="仿宋_GB2312"/>
          <w:sz w:val="32"/>
          <w:szCs w:val="32"/>
          <w:highlight w:val="none"/>
        </w:rPr>
        <w:t>7</w:t>
      </w:r>
      <w:r>
        <w:rPr>
          <w:rFonts w:hint="eastAsia" w:ascii="仿宋_GB2312" w:eastAsia="仿宋_GB2312"/>
          <w:sz w:val="32"/>
          <w:szCs w:val="32"/>
          <w:highlight w:val="none"/>
        </w:rPr>
        <w:t>月</w:t>
      </w:r>
      <w:r>
        <w:rPr>
          <w:rFonts w:ascii="仿宋_GB2312" w:eastAsia="仿宋_GB2312"/>
          <w:sz w:val="32"/>
          <w:szCs w:val="32"/>
          <w:highlight w:val="none"/>
        </w:rPr>
        <w:t>1</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日前期满考核合格的福建户籍或福建生源高校毕业人员：服务期限</w:t>
      </w:r>
      <w:r>
        <w:rPr>
          <w:rFonts w:ascii="仿宋_GB2312" w:eastAsia="仿宋_GB2312"/>
          <w:sz w:val="32"/>
          <w:szCs w:val="32"/>
          <w:highlight w:val="none"/>
        </w:rPr>
        <w:t>2</w:t>
      </w:r>
      <w:r>
        <w:rPr>
          <w:rFonts w:hint="eastAsia" w:ascii="仿宋_GB2312" w:eastAsia="仿宋_GB2312"/>
          <w:sz w:val="32"/>
          <w:szCs w:val="32"/>
          <w:highlight w:val="none"/>
        </w:rPr>
        <w:t>年及以上且期满考核合格的，报考市属事业单位笔试卷面分加</w:t>
      </w:r>
      <w:r>
        <w:rPr>
          <w:rFonts w:ascii="仿宋_GB2312" w:eastAsia="仿宋_GB2312"/>
          <w:sz w:val="32"/>
          <w:szCs w:val="32"/>
          <w:highlight w:val="none"/>
        </w:rPr>
        <w:t>3</w:t>
      </w:r>
      <w:r>
        <w:rPr>
          <w:rFonts w:hint="eastAsia" w:ascii="仿宋_GB2312" w:eastAsia="仿宋_GB2312"/>
          <w:sz w:val="32"/>
          <w:szCs w:val="32"/>
          <w:highlight w:val="none"/>
        </w:rPr>
        <w:t>分，报考区属事业单位笔试卷面分加</w:t>
      </w:r>
      <w:r>
        <w:rPr>
          <w:rFonts w:ascii="仿宋_GB2312" w:eastAsia="仿宋_GB2312"/>
          <w:sz w:val="32"/>
          <w:szCs w:val="32"/>
          <w:highlight w:val="none"/>
        </w:rPr>
        <w:t>5</w:t>
      </w:r>
      <w:r>
        <w:rPr>
          <w:rFonts w:hint="eastAsia" w:ascii="仿宋_GB2312" w:eastAsia="仿宋_GB2312"/>
          <w:sz w:val="32"/>
          <w:szCs w:val="32"/>
          <w:highlight w:val="none"/>
        </w:rPr>
        <w:t>分；服务期限</w:t>
      </w:r>
      <w:r>
        <w:rPr>
          <w:rFonts w:ascii="仿宋_GB2312" w:eastAsia="仿宋_GB2312"/>
          <w:sz w:val="32"/>
          <w:szCs w:val="32"/>
          <w:highlight w:val="none"/>
        </w:rPr>
        <w:t>1</w:t>
      </w:r>
      <w:r>
        <w:rPr>
          <w:rFonts w:hint="eastAsia" w:ascii="仿宋_GB2312" w:eastAsia="仿宋_GB2312"/>
          <w:sz w:val="32"/>
          <w:szCs w:val="32"/>
          <w:highlight w:val="none"/>
        </w:rPr>
        <w:t>年及以上不满</w:t>
      </w:r>
      <w:r>
        <w:rPr>
          <w:rFonts w:ascii="仿宋_GB2312" w:eastAsia="仿宋_GB2312"/>
          <w:sz w:val="32"/>
          <w:szCs w:val="32"/>
          <w:highlight w:val="none"/>
        </w:rPr>
        <w:t>2</w:t>
      </w:r>
      <w:r>
        <w:rPr>
          <w:rFonts w:hint="eastAsia" w:ascii="仿宋_GB2312" w:eastAsia="仿宋_GB2312"/>
          <w:sz w:val="32"/>
          <w:szCs w:val="32"/>
          <w:highlight w:val="none"/>
        </w:rPr>
        <w:t>年且期满考核合格的，报考市属事业单位不加分，报考区属事业单位笔试卷面分加</w:t>
      </w:r>
      <w:r>
        <w:rPr>
          <w:rFonts w:ascii="仿宋_GB2312" w:eastAsia="仿宋_GB2312"/>
          <w:sz w:val="32"/>
          <w:szCs w:val="32"/>
          <w:highlight w:val="none"/>
        </w:rPr>
        <w:t>5</w:t>
      </w:r>
      <w:r>
        <w:rPr>
          <w:rFonts w:hint="eastAsia" w:ascii="仿宋_GB2312" w:eastAsia="仿宋_GB2312"/>
          <w:sz w:val="32"/>
          <w:szCs w:val="32"/>
          <w:highlight w:val="none"/>
        </w:rPr>
        <w:t>分。</w:t>
      </w:r>
      <w:r>
        <w:rPr>
          <w:rFonts w:ascii="仿宋_GB2312" w:eastAsia="仿宋_GB2312"/>
          <w:sz w:val="32"/>
          <w:szCs w:val="32"/>
          <w:highlight w:val="none"/>
        </w:rPr>
        <w:t xml:space="preserve"> </w:t>
      </w:r>
    </w:p>
    <w:p>
      <w:pPr>
        <w:ind w:left="643"/>
        <w:rPr>
          <w:rFonts w:ascii="楷体" w:hAnsi="楷体" w:eastAsia="楷体" w:cs="楷体"/>
          <w:b/>
          <w:bCs/>
          <w:sz w:val="32"/>
          <w:szCs w:val="32"/>
          <w:highlight w:val="none"/>
        </w:rPr>
      </w:pPr>
      <w:bookmarkStart w:id="75" w:name="_Toc32263"/>
      <w:r>
        <w:rPr>
          <w:rFonts w:ascii="楷体" w:hAnsi="楷体" w:eastAsia="楷体" w:cs="楷体"/>
          <w:b/>
          <w:bCs/>
          <w:sz w:val="32"/>
          <w:szCs w:val="32"/>
          <w:highlight w:val="none"/>
        </w:rPr>
        <w:t>2.</w:t>
      </w:r>
      <w:r>
        <w:rPr>
          <w:rFonts w:hint="eastAsia" w:ascii="楷体" w:hAnsi="楷体" w:eastAsia="楷体" w:cs="楷体"/>
          <w:b/>
          <w:bCs/>
          <w:sz w:val="32"/>
          <w:szCs w:val="32"/>
          <w:highlight w:val="none"/>
        </w:rPr>
        <w:t>退役士兵（含大学生退役士兵）</w:t>
      </w:r>
      <w:bookmarkEnd w:id="75"/>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由福建省兵役机关批准入伍或福建生源的退役士兵（在福建省外应征入伍，但已于报名截止日</w:t>
      </w:r>
      <w:r>
        <w:rPr>
          <w:rFonts w:ascii="仿宋_GB2312" w:eastAsia="仿宋_GB2312"/>
          <w:sz w:val="32"/>
          <w:szCs w:val="32"/>
          <w:highlight w:val="none"/>
        </w:rPr>
        <w:t>2020</w:t>
      </w:r>
      <w:r>
        <w:rPr>
          <w:rFonts w:hint="eastAsia" w:ascii="仿宋_GB2312" w:eastAsia="仿宋_GB2312"/>
          <w:sz w:val="32"/>
          <w:szCs w:val="32"/>
          <w:highlight w:val="none"/>
        </w:rPr>
        <w:t>年</w:t>
      </w:r>
      <w:r>
        <w:rPr>
          <w:rFonts w:ascii="仿宋_GB2312" w:eastAsia="仿宋_GB2312"/>
          <w:sz w:val="32"/>
          <w:szCs w:val="32"/>
          <w:highlight w:val="none"/>
        </w:rPr>
        <w:t>7</w:t>
      </w:r>
      <w:r>
        <w:rPr>
          <w:rFonts w:hint="eastAsia" w:ascii="仿宋_GB2312" w:eastAsia="仿宋_GB2312"/>
          <w:sz w:val="32"/>
          <w:szCs w:val="32"/>
          <w:highlight w:val="none"/>
        </w:rPr>
        <w:t>月</w:t>
      </w:r>
      <w:r>
        <w:rPr>
          <w:rFonts w:ascii="仿宋_GB2312" w:eastAsia="仿宋_GB2312"/>
          <w:sz w:val="32"/>
          <w:szCs w:val="32"/>
          <w:highlight w:val="none"/>
        </w:rPr>
        <w:t>1</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日前取得福建户籍的可参照），可享受以下笔试卷面分加分：服役满</w:t>
      </w:r>
      <w:r>
        <w:rPr>
          <w:rFonts w:ascii="仿宋_GB2312" w:eastAsia="仿宋_GB2312"/>
          <w:sz w:val="32"/>
          <w:szCs w:val="32"/>
          <w:highlight w:val="none"/>
        </w:rPr>
        <w:t>13</w:t>
      </w:r>
      <w:r>
        <w:rPr>
          <w:rFonts w:hint="eastAsia" w:ascii="仿宋_GB2312" w:eastAsia="仿宋_GB2312"/>
          <w:sz w:val="32"/>
          <w:szCs w:val="32"/>
          <w:highlight w:val="none"/>
        </w:rPr>
        <w:t>年以上的加</w:t>
      </w:r>
      <w:r>
        <w:rPr>
          <w:rFonts w:ascii="仿宋_GB2312" w:eastAsia="仿宋_GB2312"/>
          <w:sz w:val="32"/>
          <w:szCs w:val="32"/>
          <w:highlight w:val="none"/>
        </w:rPr>
        <w:t>8</w:t>
      </w:r>
      <w:r>
        <w:rPr>
          <w:rFonts w:hint="eastAsia" w:ascii="仿宋_GB2312" w:eastAsia="仿宋_GB2312"/>
          <w:sz w:val="32"/>
          <w:szCs w:val="32"/>
          <w:highlight w:val="none"/>
        </w:rPr>
        <w:t>分</w:t>
      </w:r>
      <w:r>
        <w:rPr>
          <w:rFonts w:ascii="仿宋_GB2312" w:eastAsia="仿宋_GB2312"/>
          <w:sz w:val="32"/>
          <w:szCs w:val="32"/>
          <w:highlight w:val="none"/>
        </w:rPr>
        <w:t>;</w:t>
      </w:r>
      <w:r>
        <w:rPr>
          <w:rFonts w:hint="eastAsia" w:ascii="仿宋_GB2312" w:eastAsia="仿宋_GB2312"/>
          <w:sz w:val="32"/>
          <w:szCs w:val="32"/>
          <w:highlight w:val="none"/>
        </w:rPr>
        <w:t>服役满</w:t>
      </w:r>
      <w:r>
        <w:rPr>
          <w:rFonts w:ascii="仿宋_GB2312" w:eastAsia="仿宋_GB2312"/>
          <w:sz w:val="32"/>
          <w:szCs w:val="32"/>
          <w:highlight w:val="none"/>
        </w:rPr>
        <w:t>9</w:t>
      </w:r>
      <w:r>
        <w:rPr>
          <w:rFonts w:hint="eastAsia" w:ascii="仿宋_GB2312" w:eastAsia="仿宋_GB2312"/>
          <w:sz w:val="32"/>
          <w:szCs w:val="32"/>
          <w:highlight w:val="none"/>
        </w:rPr>
        <w:t>年至</w:t>
      </w:r>
      <w:r>
        <w:rPr>
          <w:rFonts w:ascii="仿宋_GB2312" w:eastAsia="仿宋_GB2312"/>
          <w:sz w:val="32"/>
          <w:szCs w:val="32"/>
          <w:highlight w:val="none"/>
        </w:rPr>
        <w:t>12</w:t>
      </w:r>
      <w:r>
        <w:rPr>
          <w:rFonts w:hint="eastAsia" w:ascii="仿宋_GB2312" w:eastAsia="仿宋_GB2312"/>
          <w:sz w:val="32"/>
          <w:szCs w:val="32"/>
          <w:highlight w:val="none"/>
        </w:rPr>
        <w:t>年的加</w:t>
      </w:r>
      <w:r>
        <w:rPr>
          <w:rFonts w:ascii="仿宋_GB2312" w:eastAsia="仿宋_GB2312"/>
          <w:sz w:val="32"/>
          <w:szCs w:val="32"/>
          <w:highlight w:val="none"/>
        </w:rPr>
        <w:t>6</w:t>
      </w:r>
      <w:r>
        <w:rPr>
          <w:rFonts w:hint="eastAsia" w:ascii="仿宋_GB2312" w:eastAsia="仿宋_GB2312"/>
          <w:sz w:val="32"/>
          <w:szCs w:val="32"/>
          <w:highlight w:val="none"/>
        </w:rPr>
        <w:t>分</w:t>
      </w:r>
      <w:r>
        <w:rPr>
          <w:rFonts w:ascii="仿宋_GB2312" w:eastAsia="仿宋_GB2312"/>
          <w:sz w:val="32"/>
          <w:szCs w:val="32"/>
          <w:highlight w:val="none"/>
        </w:rPr>
        <w:t>;</w:t>
      </w:r>
      <w:r>
        <w:rPr>
          <w:rFonts w:hint="eastAsia" w:ascii="仿宋_GB2312" w:eastAsia="仿宋_GB2312"/>
          <w:sz w:val="32"/>
          <w:szCs w:val="32"/>
          <w:highlight w:val="none"/>
        </w:rPr>
        <w:t>服役满</w:t>
      </w:r>
      <w:r>
        <w:rPr>
          <w:rFonts w:ascii="仿宋_GB2312" w:eastAsia="仿宋_GB2312"/>
          <w:sz w:val="32"/>
          <w:szCs w:val="32"/>
          <w:highlight w:val="none"/>
        </w:rPr>
        <w:t>6</w:t>
      </w:r>
      <w:r>
        <w:rPr>
          <w:rFonts w:hint="eastAsia" w:ascii="仿宋_GB2312" w:eastAsia="仿宋_GB2312"/>
          <w:sz w:val="32"/>
          <w:szCs w:val="32"/>
          <w:highlight w:val="none"/>
        </w:rPr>
        <w:t>年至</w:t>
      </w:r>
      <w:r>
        <w:rPr>
          <w:rFonts w:ascii="仿宋_GB2312" w:eastAsia="仿宋_GB2312"/>
          <w:sz w:val="32"/>
          <w:szCs w:val="32"/>
          <w:highlight w:val="none"/>
        </w:rPr>
        <w:t>8</w:t>
      </w:r>
      <w:r>
        <w:rPr>
          <w:rFonts w:hint="eastAsia" w:ascii="仿宋_GB2312" w:eastAsia="仿宋_GB2312"/>
          <w:sz w:val="32"/>
          <w:szCs w:val="32"/>
          <w:highlight w:val="none"/>
        </w:rPr>
        <w:t>年的加</w:t>
      </w:r>
      <w:r>
        <w:rPr>
          <w:rFonts w:ascii="仿宋_GB2312" w:eastAsia="仿宋_GB2312"/>
          <w:sz w:val="32"/>
          <w:szCs w:val="32"/>
          <w:highlight w:val="none"/>
        </w:rPr>
        <w:t>4</w:t>
      </w:r>
      <w:r>
        <w:rPr>
          <w:rFonts w:hint="eastAsia" w:ascii="仿宋_GB2312" w:eastAsia="仿宋_GB2312"/>
          <w:sz w:val="32"/>
          <w:szCs w:val="32"/>
          <w:highlight w:val="none"/>
        </w:rPr>
        <w:t>分</w:t>
      </w:r>
      <w:r>
        <w:rPr>
          <w:rFonts w:ascii="仿宋_GB2312" w:eastAsia="仿宋_GB2312"/>
          <w:sz w:val="32"/>
          <w:szCs w:val="32"/>
          <w:highlight w:val="none"/>
        </w:rPr>
        <w:t>;</w:t>
      </w:r>
      <w:r>
        <w:rPr>
          <w:rFonts w:hint="eastAsia" w:ascii="仿宋_GB2312" w:eastAsia="仿宋_GB2312"/>
          <w:sz w:val="32"/>
          <w:szCs w:val="32"/>
          <w:highlight w:val="none"/>
        </w:rPr>
        <w:t>服役满</w:t>
      </w:r>
      <w:r>
        <w:rPr>
          <w:rFonts w:ascii="仿宋_GB2312" w:eastAsia="仿宋_GB2312"/>
          <w:sz w:val="32"/>
          <w:szCs w:val="32"/>
          <w:highlight w:val="none"/>
        </w:rPr>
        <w:t>3</w:t>
      </w:r>
      <w:r>
        <w:rPr>
          <w:rFonts w:hint="eastAsia" w:ascii="仿宋_GB2312" w:eastAsia="仿宋_GB2312"/>
          <w:sz w:val="32"/>
          <w:szCs w:val="32"/>
          <w:highlight w:val="none"/>
        </w:rPr>
        <w:t>年至</w:t>
      </w:r>
      <w:r>
        <w:rPr>
          <w:rFonts w:ascii="仿宋_GB2312" w:eastAsia="仿宋_GB2312"/>
          <w:sz w:val="32"/>
          <w:szCs w:val="32"/>
          <w:highlight w:val="none"/>
        </w:rPr>
        <w:t>5</w:t>
      </w:r>
      <w:r>
        <w:rPr>
          <w:rFonts w:hint="eastAsia" w:ascii="仿宋_GB2312" w:eastAsia="仿宋_GB2312"/>
          <w:sz w:val="32"/>
          <w:szCs w:val="32"/>
          <w:highlight w:val="none"/>
        </w:rPr>
        <w:t>年的加</w:t>
      </w:r>
      <w:r>
        <w:rPr>
          <w:rFonts w:ascii="仿宋_GB2312" w:eastAsia="仿宋_GB2312"/>
          <w:sz w:val="32"/>
          <w:szCs w:val="32"/>
          <w:highlight w:val="none"/>
        </w:rPr>
        <w:t>2</w:t>
      </w:r>
      <w:r>
        <w:rPr>
          <w:rFonts w:hint="eastAsia" w:ascii="仿宋_GB2312" w:eastAsia="仿宋_GB2312"/>
          <w:sz w:val="32"/>
          <w:szCs w:val="32"/>
          <w:highlight w:val="none"/>
        </w:rPr>
        <w:t>分</w:t>
      </w:r>
      <w:r>
        <w:rPr>
          <w:rFonts w:ascii="仿宋_GB2312" w:eastAsia="仿宋_GB2312"/>
          <w:sz w:val="32"/>
          <w:szCs w:val="32"/>
          <w:highlight w:val="none"/>
        </w:rPr>
        <w:t>;</w:t>
      </w:r>
      <w:r>
        <w:rPr>
          <w:rFonts w:hint="eastAsia" w:ascii="仿宋_GB2312" w:eastAsia="仿宋_GB2312"/>
          <w:sz w:val="32"/>
          <w:szCs w:val="32"/>
          <w:highlight w:val="none"/>
        </w:rPr>
        <w:t>荣立二等功及以上的另加</w:t>
      </w:r>
      <w:r>
        <w:rPr>
          <w:rFonts w:ascii="仿宋_GB2312" w:eastAsia="仿宋_GB2312"/>
          <w:sz w:val="32"/>
          <w:szCs w:val="32"/>
          <w:highlight w:val="none"/>
        </w:rPr>
        <w:t>3</w:t>
      </w:r>
      <w:r>
        <w:rPr>
          <w:rFonts w:hint="eastAsia" w:ascii="仿宋_GB2312" w:eastAsia="仿宋_GB2312"/>
          <w:sz w:val="32"/>
          <w:szCs w:val="32"/>
          <w:highlight w:val="none"/>
        </w:rPr>
        <w:t>分</w:t>
      </w:r>
      <w:r>
        <w:rPr>
          <w:rFonts w:ascii="仿宋_GB2312" w:eastAsia="仿宋_GB2312"/>
          <w:sz w:val="32"/>
          <w:szCs w:val="32"/>
          <w:highlight w:val="none"/>
        </w:rPr>
        <w:t>/</w:t>
      </w:r>
      <w:r>
        <w:rPr>
          <w:rFonts w:hint="eastAsia" w:ascii="仿宋_GB2312" w:eastAsia="仿宋_GB2312"/>
          <w:sz w:val="32"/>
          <w:szCs w:val="32"/>
          <w:highlight w:val="none"/>
        </w:rPr>
        <w:t>次</w:t>
      </w:r>
      <w:r>
        <w:rPr>
          <w:rFonts w:ascii="仿宋_GB2312" w:eastAsia="仿宋_GB2312"/>
          <w:sz w:val="32"/>
          <w:szCs w:val="32"/>
          <w:highlight w:val="none"/>
        </w:rPr>
        <w:t>;</w:t>
      </w:r>
      <w:r>
        <w:rPr>
          <w:rFonts w:hint="eastAsia" w:ascii="仿宋_GB2312" w:eastAsia="仿宋_GB2312"/>
          <w:sz w:val="32"/>
          <w:szCs w:val="32"/>
          <w:highlight w:val="none"/>
        </w:rPr>
        <w:t>荣立三等功的另加</w:t>
      </w:r>
      <w:r>
        <w:rPr>
          <w:rFonts w:ascii="仿宋_GB2312" w:eastAsia="仿宋_GB2312"/>
          <w:sz w:val="32"/>
          <w:szCs w:val="32"/>
          <w:highlight w:val="none"/>
        </w:rPr>
        <w:t>2</w:t>
      </w:r>
      <w:r>
        <w:rPr>
          <w:rFonts w:hint="eastAsia" w:ascii="仿宋_GB2312" w:eastAsia="仿宋_GB2312"/>
          <w:sz w:val="32"/>
          <w:szCs w:val="32"/>
          <w:highlight w:val="none"/>
        </w:rPr>
        <w:t>分</w:t>
      </w:r>
      <w:r>
        <w:rPr>
          <w:rFonts w:ascii="仿宋_GB2312" w:eastAsia="仿宋_GB2312"/>
          <w:sz w:val="32"/>
          <w:szCs w:val="32"/>
          <w:highlight w:val="none"/>
        </w:rPr>
        <w:t>/</w:t>
      </w:r>
      <w:r>
        <w:rPr>
          <w:rFonts w:hint="eastAsia" w:ascii="仿宋_GB2312" w:eastAsia="仿宋_GB2312"/>
          <w:sz w:val="32"/>
          <w:szCs w:val="32"/>
          <w:highlight w:val="none"/>
        </w:rPr>
        <w:t>次</w:t>
      </w:r>
      <w:r>
        <w:rPr>
          <w:rFonts w:ascii="仿宋_GB2312" w:eastAsia="仿宋_GB2312"/>
          <w:sz w:val="32"/>
          <w:szCs w:val="32"/>
          <w:highlight w:val="none"/>
        </w:rPr>
        <w:t>;</w:t>
      </w:r>
      <w:r>
        <w:rPr>
          <w:rFonts w:hint="eastAsia" w:ascii="仿宋_GB2312" w:eastAsia="仿宋_GB2312"/>
          <w:sz w:val="32"/>
          <w:szCs w:val="32"/>
          <w:highlight w:val="none"/>
        </w:rPr>
        <w:t>获得优秀士官或优秀士兵或优秀义务兵荣誉称号的另加</w:t>
      </w:r>
      <w:r>
        <w:rPr>
          <w:rFonts w:ascii="仿宋_GB2312" w:eastAsia="仿宋_GB2312"/>
          <w:sz w:val="32"/>
          <w:szCs w:val="32"/>
          <w:highlight w:val="none"/>
        </w:rPr>
        <w:t>1</w:t>
      </w:r>
      <w:r>
        <w:rPr>
          <w:rFonts w:hint="eastAsia" w:ascii="仿宋_GB2312" w:eastAsia="仿宋_GB2312"/>
          <w:sz w:val="32"/>
          <w:szCs w:val="32"/>
          <w:highlight w:val="none"/>
        </w:rPr>
        <w:t>分</w:t>
      </w:r>
      <w:r>
        <w:rPr>
          <w:rFonts w:ascii="仿宋_GB2312" w:eastAsia="仿宋_GB2312"/>
          <w:sz w:val="32"/>
          <w:szCs w:val="32"/>
          <w:highlight w:val="none"/>
        </w:rPr>
        <w:t>/</w:t>
      </w:r>
      <w:r>
        <w:rPr>
          <w:rFonts w:hint="eastAsia" w:ascii="仿宋_GB2312" w:eastAsia="仿宋_GB2312"/>
          <w:sz w:val="32"/>
          <w:szCs w:val="32"/>
          <w:highlight w:val="none"/>
        </w:rPr>
        <w:t>次</w:t>
      </w:r>
      <w:r>
        <w:rPr>
          <w:rFonts w:ascii="仿宋_GB2312" w:eastAsia="仿宋_GB2312"/>
          <w:sz w:val="32"/>
          <w:szCs w:val="32"/>
          <w:highlight w:val="none"/>
        </w:rPr>
        <w:t>;</w:t>
      </w:r>
      <w:r>
        <w:rPr>
          <w:rFonts w:hint="eastAsia" w:ascii="仿宋_GB2312" w:eastAsia="仿宋_GB2312"/>
          <w:sz w:val="32"/>
          <w:szCs w:val="32"/>
          <w:highlight w:val="none"/>
        </w:rPr>
        <w:t>伤残士兵另加</w:t>
      </w:r>
      <w:r>
        <w:rPr>
          <w:rFonts w:ascii="仿宋_GB2312" w:eastAsia="仿宋_GB2312"/>
          <w:sz w:val="32"/>
          <w:szCs w:val="32"/>
          <w:highlight w:val="none"/>
        </w:rPr>
        <w:t>3</w:t>
      </w:r>
      <w:r>
        <w:rPr>
          <w:rFonts w:hint="eastAsia" w:ascii="仿宋_GB2312" w:eastAsia="仿宋_GB2312"/>
          <w:sz w:val="32"/>
          <w:szCs w:val="32"/>
          <w:highlight w:val="none"/>
        </w:rPr>
        <w:t>分</w:t>
      </w:r>
      <w:r>
        <w:rPr>
          <w:rFonts w:ascii="仿宋_GB2312" w:eastAsia="仿宋_GB2312"/>
          <w:sz w:val="32"/>
          <w:szCs w:val="32"/>
          <w:highlight w:val="none"/>
        </w:rPr>
        <w:t>;</w:t>
      </w:r>
      <w:r>
        <w:rPr>
          <w:rFonts w:hint="eastAsia" w:ascii="仿宋_GB2312" w:eastAsia="仿宋_GB2312"/>
          <w:sz w:val="32"/>
          <w:szCs w:val="32"/>
          <w:highlight w:val="none"/>
        </w:rPr>
        <w:t>对在边防、高原、海岛等艰苦地区或从事飞行、舰艇工作</w:t>
      </w:r>
      <w:r>
        <w:rPr>
          <w:rFonts w:ascii="仿宋_GB2312" w:eastAsia="仿宋_GB2312"/>
          <w:sz w:val="32"/>
          <w:szCs w:val="32"/>
          <w:highlight w:val="none"/>
        </w:rPr>
        <w:t>5</w:t>
      </w:r>
      <w:r>
        <w:rPr>
          <w:rFonts w:hint="eastAsia" w:ascii="仿宋_GB2312" w:eastAsia="仿宋_GB2312"/>
          <w:sz w:val="32"/>
          <w:szCs w:val="32"/>
          <w:highlight w:val="none"/>
        </w:rPr>
        <w:t>年及以上的，除享受以上加分外可再加</w:t>
      </w:r>
      <w:r>
        <w:rPr>
          <w:rFonts w:ascii="仿宋_GB2312" w:eastAsia="仿宋_GB2312"/>
          <w:sz w:val="32"/>
          <w:szCs w:val="32"/>
          <w:highlight w:val="none"/>
        </w:rPr>
        <w:t>3</w:t>
      </w:r>
      <w:r>
        <w:rPr>
          <w:rFonts w:hint="eastAsia" w:ascii="仿宋_GB2312" w:eastAsia="仿宋_GB2312"/>
          <w:sz w:val="32"/>
          <w:szCs w:val="32"/>
          <w:highlight w:val="none"/>
        </w:rPr>
        <w:t>分；全日制普通教育大专以上学历学生在校期间应征入伍且退役后继续完成学业的，毕业后加</w:t>
      </w:r>
      <w:r>
        <w:rPr>
          <w:rFonts w:ascii="仿宋_GB2312" w:eastAsia="仿宋_GB2312"/>
          <w:sz w:val="32"/>
          <w:szCs w:val="32"/>
          <w:highlight w:val="none"/>
        </w:rPr>
        <w:t>5</w:t>
      </w:r>
      <w:r>
        <w:rPr>
          <w:rFonts w:hint="eastAsia" w:ascii="仿宋_GB2312" w:eastAsia="仿宋_GB2312"/>
          <w:sz w:val="32"/>
          <w:szCs w:val="32"/>
          <w:highlight w:val="none"/>
        </w:rPr>
        <w:t>分；全日制普通教育大专以上学历毕业生应征入伍的，退役后加</w:t>
      </w:r>
      <w:r>
        <w:rPr>
          <w:rFonts w:ascii="仿宋_GB2312" w:eastAsia="仿宋_GB2312"/>
          <w:sz w:val="32"/>
          <w:szCs w:val="32"/>
          <w:highlight w:val="none"/>
        </w:rPr>
        <w:t>5</w:t>
      </w:r>
      <w:r>
        <w:rPr>
          <w:rFonts w:hint="eastAsia" w:ascii="仿宋_GB2312" w:eastAsia="仿宋_GB2312"/>
          <w:sz w:val="32"/>
          <w:szCs w:val="32"/>
          <w:highlight w:val="none"/>
        </w:rPr>
        <w:t>分。</w:t>
      </w:r>
    </w:p>
    <w:p>
      <w:pPr>
        <w:ind w:left="643"/>
        <w:rPr>
          <w:rFonts w:ascii="楷体" w:hAnsi="楷体" w:eastAsia="楷体" w:cs="楷体"/>
          <w:b/>
          <w:bCs/>
          <w:sz w:val="32"/>
          <w:szCs w:val="32"/>
          <w:highlight w:val="none"/>
        </w:rPr>
      </w:pPr>
      <w:bookmarkStart w:id="76" w:name="_Toc28909"/>
      <w:r>
        <w:rPr>
          <w:rFonts w:ascii="楷体" w:hAnsi="楷体" w:eastAsia="楷体" w:cs="楷体"/>
          <w:b/>
          <w:bCs/>
          <w:sz w:val="32"/>
          <w:szCs w:val="32"/>
          <w:highlight w:val="none"/>
        </w:rPr>
        <w:t>3.</w:t>
      </w:r>
      <w:r>
        <w:rPr>
          <w:rFonts w:hint="eastAsia" w:ascii="楷体" w:hAnsi="楷体" w:eastAsia="楷体" w:cs="楷体"/>
          <w:b/>
          <w:bCs/>
          <w:sz w:val="32"/>
          <w:szCs w:val="32"/>
          <w:highlight w:val="none"/>
        </w:rPr>
        <w:t>退役优秀运动员</w:t>
      </w:r>
      <w:bookmarkEnd w:id="76"/>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我市退役优秀运动员，可享受以下笔试卷面分加分：曾获得世界体育三大比赛（奥运会、世锦赛、世界杯）第</w:t>
      </w:r>
      <w:r>
        <w:rPr>
          <w:rFonts w:ascii="仿宋_GB2312" w:eastAsia="仿宋_GB2312"/>
          <w:sz w:val="32"/>
          <w:szCs w:val="32"/>
          <w:highlight w:val="none"/>
        </w:rPr>
        <w:t>2</w:t>
      </w:r>
      <w:r>
        <w:rPr>
          <w:rFonts w:hint="eastAsia" w:ascii="仿宋_GB2312" w:eastAsia="仿宋_GB2312"/>
          <w:sz w:val="32"/>
          <w:szCs w:val="32"/>
          <w:highlight w:val="none"/>
        </w:rPr>
        <w:t>至第</w:t>
      </w:r>
      <w:r>
        <w:rPr>
          <w:rFonts w:ascii="仿宋_GB2312" w:eastAsia="仿宋_GB2312"/>
          <w:sz w:val="32"/>
          <w:szCs w:val="32"/>
          <w:highlight w:val="none"/>
        </w:rPr>
        <w:t>6</w:t>
      </w:r>
      <w:r>
        <w:rPr>
          <w:rFonts w:hint="eastAsia" w:ascii="仿宋_GB2312" w:eastAsia="仿宋_GB2312"/>
          <w:sz w:val="32"/>
          <w:szCs w:val="32"/>
          <w:highlight w:val="none"/>
        </w:rPr>
        <w:t>名，亚洲体育三大比赛（亚运会、亚锦赛、亚洲杯）或全运会第</w:t>
      </w:r>
      <w:r>
        <w:rPr>
          <w:rFonts w:ascii="仿宋_GB2312" w:eastAsia="仿宋_GB2312"/>
          <w:sz w:val="32"/>
          <w:szCs w:val="32"/>
          <w:highlight w:val="none"/>
        </w:rPr>
        <w:t>2</w:t>
      </w:r>
      <w:r>
        <w:rPr>
          <w:rFonts w:hint="eastAsia" w:ascii="仿宋_GB2312" w:eastAsia="仿宋_GB2312"/>
          <w:sz w:val="32"/>
          <w:szCs w:val="32"/>
          <w:highlight w:val="none"/>
        </w:rPr>
        <w:t>或第</w:t>
      </w:r>
      <w:r>
        <w:rPr>
          <w:rFonts w:ascii="仿宋_GB2312" w:eastAsia="仿宋_GB2312"/>
          <w:sz w:val="32"/>
          <w:szCs w:val="32"/>
          <w:highlight w:val="none"/>
        </w:rPr>
        <w:t>3</w:t>
      </w:r>
      <w:r>
        <w:rPr>
          <w:rFonts w:hint="eastAsia" w:ascii="仿宋_GB2312" w:eastAsia="仿宋_GB2312"/>
          <w:sz w:val="32"/>
          <w:szCs w:val="32"/>
          <w:highlight w:val="none"/>
        </w:rPr>
        <w:t>名，全国锦标赛、全国冠军赛或篮球、排球、足球全国职业联赛第</w:t>
      </w:r>
      <w:r>
        <w:rPr>
          <w:rFonts w:ascii="仿宋_GB2312" w:eastAsia="仿宋_GB2312"/>
          <w:sz w:val="32"/>
          <w:szCs w:val="32"/>
          <w:highlight w:val="none"/>
        </w:rPr>
        <w:t>1</w:t>
      </w:r>
      <w:r>
        <w:rPr>
          <w:rFonts w:hint="eastAsia" w:ascii="仿宋_GB2312" w:eastAsia="仿宋_GB2312"/>
          <w:sz w:val="32"/>
          <w:szCs w:val="32"/>
          <w:highlight w:val="none"/>
        </w:rPr>
        <w:t>名的，加</w:t>
      </w:r>
      <w:r>
        <w:rPr>
          <w:rFonts w:ascii="仿宋_GB2312" w:eastAsia="仿宋_GB2312"/>
          <w:sz w:val="32"/>
          <w:szCs w:val="32"/>
          <w:highlight w:val="none"/>
        </w:rPr>
        <w:t>9</w:t>
      </w:r>
      <w:r>
        <w:rPr>
          <w:rFonts w:hint="eastAsia" w:ascii="仿宋_GB2312" w:eastAsia="仿宋_GB2312"/>
          <w:sz w:val="32"/>
          <w:szCs w:val="32"/>
          <w:highlight w:val="none"/>
        </w:rPr>
        <w:t>分；曾获得省运动会冠军，全国锦标赛、全国冠军赛或篮球、排球、足球全国职业联赛第</w:t>
      </w:r>
      <w:r>
        <w:rPr>
          <w:rFonts w:ascii="仿宋_GB2312" w:eastAsia="仿宋_GB2312"/>
          <w:sz w:val="32"/>
          <w:szCs w:val="32"/>
          <w:highlight w:val="none"/>
        </w:rPr>
        <w:t>2</w:t>
      </w:r>
      <w:r>
        <w:rPr>
          <w:rFonts w:hint="eastAsia" w:ascii="仿宋_GB2312" w:eastAsia="仿宋_GB2312"/>
          <w:sz w:val="32"/>
          <w:szCs w:val="32"/>
          <w:highlight w:val="none"/>
        </w:rPr>
        <w:t>或第</w:t>
      </w:r>
      <w:r>
        <w:rPr>
          <w:rFonts w:ascii="仿宋_GB2312" w:eastAsia="仿宋_GB2312"/>
          <w:sz w:val="32"/>
          <w:szCs w:val="32"/>
          <w:highlight w:val="none"/>
        </w:rPr>
        <w:t>3</w:t>
      </w:r>
      <w:r>
        <w:rPr>
          <w:rFonts w:hint="eastAsia" w:ascii="仿宋_GB2312" w:eastAsia="仿宋_GB2312"/>
          <w:sz w:val="32"/>
          <w:szCs w:val="32"/>
          <w:highlight w:val="none"/>
        </w:rPr>
        <w:t>名，亚洲体育三大比赛（亚运会、亚锦赛、亚洲杯）第</w:t>
      </w:r>
      <w:r>
        <w:rPr>
          <w:rFonts w:ascii="仿宋_GB2312" w:eastAsia="仿宋_GB2312"/>
          <w:sz w:val="32"/>
          <w:szCs w:val="32"/>
          <w:highlight w:val="none"/>
        </w:rPr>
        <w:t>4</w:t>
      </w:r>
      <w:r>
        <w:rPr>
          <w:rFonts w:hint="eastAsia" w:ascii="仿宋_GB2312" w:eastAsia="仿宋_GB2312"/>
          <w:sz w:val="32"/>
          <w:szCs w:val="32"/>
          <w:highlight w:val="none"/>
        </w:rPr>
        <w:t>至第</w:t>
      </w:r>
      <w:r>
        <w:rPr>
          <w:rFonts w:ascii="仿宋_GB2312" w:eastAsia="仿宋_GB2312"/>
          <w:sz w:val="32"/>
          <w:szCs w:val="32"/>
          <w:highlight w:val="none"/>
        </w:rPr>
        <w:t>6</w:t>
      </w:r>
      <w:r>
        <w:rPr>
          <w:rFonts w:hint="eastAsia" w:ascii="仿宋_GB2312" w:eastAsia="仿宋_GB2312"/>
          <w:sz w:val="32"/>
          <w:szCs w:val="32"/>
          <w:highlight w:val="none"/>
        </w:rPr>
        <w:t>名的，加</w:t>
      </w:r>
      <w:r>
        <w:rPr>
          <w:rFonts w:ascii="仿宋_GB2312" w:eastAsia="仿宋_GB2312"/>
          <w:sz w:val="32"/>
          <w:szCs w:val="32"/>
          <w:highlight w:val="none"/>
        </w:rPr>
        <w:t>7</w:t>
      </w:r>
      <w:r>
        <w:rPr>
          <w:rFonts w:hint="eastAsia" w:ascii="仿宋_GB2312" w:eastAsia="仿宋_GB2312"/>
          <w:sz w:val="32"/>
          <w:szCs w:val="32"/>
          <w:highlight w:val="none"/>
        </w:rPr>
        <w:t>分。</w:t>
      </w:r>
    </w:p>
    <w:p>
      <w:pPr>
        <w:ind w:left="643"/>
        <w:outlineLvl w:val="1"/>
        <w:rPr>
          <w:rFonts w:ascii="楷体" w:hAnsi="楷体" w:eastAsia="楷体" w:cs="楷体"/>
          <w:b/>
          <w:bCs/>
          <w:sz w:val="32"/>
          <w:szCs w:val="32"/>
          <w:highlight w:val="none"/>
        </w:rPr>
      </w:pPr>
      <w:bookmarkStart w:id="77" w:name="_Toc23220"/>
      <w:bookmarkStart w:id="78" w:name="_Toc5497"/>
      <w:bookmarkStart w:id="79" w:name="_Toc25623_WPSOffice_Level2"/>
      <w:r>
        <w:rPr>
          <w:rFonts w:hint="eastAsia" w:ascii="楷体" w:hAnsi="楷体" w:eastAsia="楷体" w:cs="楷体"/>
          <w:b/>
          <w:bCs/>
          <w:sz w:val="32"/>
          <w:szCs w:val="32"/>
          <w:highlight w:val="none"/>
        </w:rPr>
        <w:t>（三）加分证明</w:t>
      </w:r>
      <w:bookmarkEnd w:id="77"/>
      <w:bookmarkEnd w:id="78"/>
      <w:bookmarkEnd w:id="79"/>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符合加分政策的报考者须在网上报名时如实填报</w:t>
      </w:r>
      <w:r>
        <w:rPr>
          <w:rFonts w:hint="eastAsia" w:ascii="仿宋_GB2312" w:hAnsi="仿宋_GB2312" w:eastAsia="仿宋_GB2312"/>
          <w:sz w:val="32"/>
          <w:szCs w:val="32"/>
          <w:highlight w:val="none"/>
        </w:rPr>
        <w:t>和上传加分证明资料</w:t>
      </w:r>
      <w:r>
        <w:rPr>
          <w:rFonts w:hint="eastAsia" w:ascii="仿宋_GB2312" w:eastAsia="仿宋_GB2312"/>
          <w:sz w:val="32"/>
          <w:szCs w:val="32"/>
          <w:highlight w:val="none"/>
        </w:rPr>
        <w:t>，并于网上报名期间向</w:t>
      </w:r>
      <w:r>
        <w:rPr>
          <w:rFonts w:hint="eastAsia" w:ascii="仿宋_GB2312" w:eastAsia="仿宋_GB2312"/>
          <w:sz w:val="32"/>
          <w:szCs w:val="32"/>
          <w:highlight w:val="none"/>
          <w:lang w:eastAsia="zh-CN"/>
        </w:rPr>
        <w:t>用人</w:t>
      </w:r>
      <w:r>
        <w:rPr>
          <w:rFonts w:hint="eastAsia" w:ascii="仿宋_GB2312" w:eastAsia="仿宋_GB2312"/>
          <w:sz w:val="32"/>
          <w:szCs w:val="32"/>
          <w:highlight w:val="none"/>
        </w:rPr>
        <w:t>单位提交（提交方式请与</w:t>
      </w:r>
      <w:r>
        <w:rPr>
          <w:rFonts w:hint="eastAsia" w:ascii="仿宋_GB2312" w:eastAsia="仿宋_GB2312"/>
          <w:sz w:val="32"/>
          <w:szCs w:val="32"/>
          <w:highlight w:val="none"/>
          <w:lang w:eastAsia="zh-CN"/>
        </w:rPr>
        <w:t>用人</w:t>
      </w:r>
      <w:r>
        <w:rPr>
          <w:rFonts w:hint="eastAsia" w:ascii="仿宋_GB2312" w:eastAsia="仿宋_GB2312"/>
          <w:sz w:val="32"/>
          <w:szCs w:val="32"/>
          <w:highlight w:val="none"/>
        </w:rPr>
        <w:t>单位联系人联系）以下资料的原件及复印件（复印件需依序装订成册，一式</w:t>
      </w:r>
      <w:r>
        <w:rPr>
          <w:rFonts w:ascii="仿宋_GB2312" w:eastAsia="仿宋_GB2312"/>
          <w:sz w:val="32"/>
          <w:szCs w:val="32"/>
          <w:highlight w:val="none"/>
        </w:rPr>
        <w:t>2</w:t>
      </w:r>
      <w:r>
        <w:rPr>
          <w:rFonts w:hint="eastAsia" w:ascii="仿宋_GB2312" w:eastAsia="仿宋_GB2312"/>
          <w:sz w:val="32"/>
          <w:szCs w:val="32"/>
          <w:highlight w:val="none"/>
        </w:rPr>
        <w:t>份），否则视为放弃享受加分政策：</w:t>
      </w:r>
    </w:p>
    <w:p>
      <w:pPr>
        <w:ind w:firstLine="640" w:firstLineChars="200"/>
        <w:rPr>
          <w:rFonts w:ascii="仿宋_GB2312" w:eastAsia="仿宋_GB2312"/>
          <w:sz w:val="32"/>
          <w:szCs w:val="32"/>
          <w:highlight w:val="none"/>
        </w:rPr>
      </w:pPr>
      <w:r>
        <w:rPr>
          <w:rFonts w:ascii="仿宋_GB2312" w:eastAsia="仿宋_GB2312"/>
          <w:sz w:val="32"/>
          <w:szCs w:val="32"/>
          <w:highlight w:val="none"/>
        </w:rPr>
        <w:t>1.</w:t>
      </w:r>
      <w:r>
        <w:rPr>
          <w:rFonts w:hint="eastAsia" w:ascii="仿宋_GB2312" w:eastAsia="仿宋_GB2312"/>
          <w:sz w:val="32"/>
          <w:szCs w:val="32"/>
          <w:highlight w:val="none"/>
        </w:rPr>
        <w:t>基本资料：本人有效身份证正反面、户口本首页及个人页、学历（位）证；</w:t>
      </w:r>
    </w:p>
    <w:p>
      <w:pPr>
        <w:ind w:firstLine="640" w:firstLineChars="200"/>
        <w:rPr>
          <w:rFonts w:ascii="仿宋_GB2312" w:eastAsia="仿宋_GB2312"/>
          <w:sz w:val="32"/>
          <w:szCs w:val="32"/>
          <w:highlight w:val="none"/>
        </w:rPr>
      </w:pPr>
      <w:r>
        <w:rPr>
          <w:rFonts w:ascii="仿宋_GB2312" w:eastAsia="仿宋_GB2312"/>
          <w:sz w:val="32"/>
          <w:szCs w:val="32"/>
          <w:highlight w:val="none"/>
        </w:rPr>
        <w:t>2.</w:t>
      </w:r>
      <w:r>
        <w:rPr>
          <w:rFonts w:hint="eastAsia" w:ascii="仿宋_GB2312" w:eastAsia="仿宋_GB2312"/>
          <w:sz w:val="32"/>
          <w:szCs w:val="32"/>
          <w:highlight w:val="none"/>
        </w:rPr>
        <w:t>证明资料：</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w:t>
      </w:r>
      <w:r>
        <w:rPr>
          <w:rFonts w:ascii="仿宋_GB2312" w:eastAsia="仿宋_GB2312"/>
          <w:sz w:val="32"/>
          <w:szCs w:val="32"/>
          <w:highlight w:val="none"/>
        </w:rPr>
        <w:t>1</w:t>
      </w:r>
      <w:r>
        <w:rPr>
          <w:rFonts w:hint="eastAsia" w:ascii="仿宋_GB2312" w:eastAsia="仿宋_GB2312"/>
          <w:sz w:val="32"/>
          <w:szCs w:val="32"/>
          <w:highlight w:val="none"/>
        </w:rPr>
        <w:t>）服务基层项目毕业生需提交组织实施相应项目的机构出具的服务基层期满考核合格证书（或服务期满考核合格材料）及福建户籍或福建生源证明材料。</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w:t>
      </w:r>
      <w:r>
        <w:rPr>
          <w:rFonts w:ascii="仿宋_GB2312" w:eastAsia="仿宋_GB2312"/>
          <w:sz w:val="32"/>
          <w:szCs w:val="32"/>
          <w:highlight w:val="none"/>
        </w:rPr>
        <w:t>2</w:t>
      </w:r>
      <w:r>
        <w:rPr>
          <w:rFonts w:hint="eastAsia" w:ascii="仿宋_GB2312" w:eastAsia="仿宋_GB2312"/>
          <w:sz w:val="32"/>
          <w:szCs w:val="32"/>
          <w:highlight w:val="none"/>
        </w:rPr>
        <w:t>）符合加分政策的退役士兵（含大学生退役士兵）安置在厦门市的，可于上班时间持身份证、退伍证前往厦门市退役军人事务局移交安置与就业创业处开具证明材料（联系电话</w:t>
      </w:r>
      <w:r>
        <w:rPr>
          <w:rFonts w:ascii="仿宋_GB2312" w:eastAsia="仿宋_GB2312"/>
          <w:sz w:val="32"/>
          <w:szCs w:val="32"/>
          <w:highlight w:val="none"/>
        </w:rPr>
        <w:t>0592-2226263</w:t>
      </w:r>
      <w:r>
        <w:rPr>
          <w:rFonts w:hint="eastAsia" w:ascii="仿宋_GB2312" w:eastAsia="仿宋_GB2312"/>
          <w:sz w:val="32"/>
          <w:szCs w:val="32"/>
          <w:highlight w:val="none"/>
        </w:rPr>
        <w:t>）；安置在厦门市以外的，可由安置地县级及以上退役军人事务部门开具证明。</w:t>
      </w:r>
      <w:r>
        <w:rPr>
          <w:rFonts w:ascii="仿宋_GB2312" w:eastAsia="仿宋_GB2312"/>
          <w:sz w:val="32"/>
          <w:szCs w:val="32"/>
          <w:highlight w:val="none"/>
        </w:rPr>
        <w:t xml:space="preserve">    </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w:t>
      </w:r>
      <w:r>
        <w:rPr>
          <w:rFonts w:ascii="仿宋_GB2312" w:eastAsia="仿宋_GB2312"/>
          <w:sz w:val="32"/>
          <w:szCs w:val="32"/>
          <w:highlight w:val="none"/>
        </w:rPr>
        <w:t>3</w:t>
      </w:r>
      <w:r>
        <w:rPr>
          <w:rFonts w:hint="eastAsia" w:ascii="仿宋_GB2312" w:eastAsia="仿宋_GB2312"/>
          <w:sz w:val="32"/>
          <w:szCs w:val="32"/>
          <w:highlight w:val="none"/>
        </w:rPr>
        <w:t>）符合加分政策的我市退役优秀运动员可持相应奖项证书前往厦门市体育局人事处开具证明材料</w:t>
      </w:r>
      <w:r>
        <w:rPr>
          <w:rFonts w:ascii="仿宋_GB2312" w:eastAsia="仿宋_GB2312"/>
          <w:sz w:val="32"/>
          <w:szCs w:val="32"/>
          <w:highlight w:val="none"/>
        </w:rPr>
        <w:t>(</w:t>
      </w:r>
      <w:r>
        <w:rPr>
          <w:rFonts w:hint="eastAsia" w:ascii="仿宋_GB2312" w:eastAsia="仿宋_GB2312"/>
          <w:sz w:val="32"/>
          <w:szCs w:val="32"/>
          <w:highlight w:val="none"/>
        </w:rPr>
        <w:t>联系电话</w:t>
      </w:r>
      <w:r>
        <w:rPr>
          <w:rFonts w:ascii="仿宋_GB2312" w:eastAsia="仿宋_GB2312"/>
          <w:sz w:val="32"/>
          <w:szCs w:val="32"/>
          <w:highlight w:val="none"/>
        </w:rPr>
        <w:t>0592-5339323)</w:t>
      </w:r>
      <w:r>
        <w:rPr>
          <w:rFonts w:hint="eastAsia" w:ascii="仿宋_GB2312" w:eastAsia="仿宋_GB2312"/>
          <w:sz w:val="32"/>
          <w:szCs w:val="32"/>
          <w:highlight w:val="none"/>
        </w:rPr>
        <w:t>。</w:t>
      </w:r>
    </w:p>
    <w:p>
      <w:pPr>
        <w:ind w:firstLine="640" w:firstLineChars="200"/>
        <w:outlineLvl w:val="0"/>
        <w:rPr>
          <w:rFonts w:ascii="黑体" w:hAnsi="黑体" w:eastAsia="黑体"/>
          <w:sz w:val="32"/>
          <w:szCs w:val="32"/>
          <w:highlight w:val="none"/>
        </w:rPr>
      </w:pPr>
      <w:bookmarkStart w:id="80" w:name="_Toc18359_WPSOffice_Level1"/>
      <w:bookmarkStart w:id="81" w:name="_Toc9008"/>
      <w:bookmarkStart w:id="82" w:name="_Toc29002"/>
      <w:r>
        <w:rPr>
          <w:rFonts w:hint="eastAsia" w:ascii="黑体" w:hAnsi="黑体" w:eastAsia="黑体"/>
          <w:sz w:val="32"/>
          <w:szCs w:val="32"/>
          <w:highlight w:val="none"/>
        </w:rPr>
        <w:t>十、</w:t>
      </w:r>
      <w:bookmarkEnd w:id="80"/>
      <w:r>
        <w:rPr>
          <w:rFonts w:hint="eastAsia" w:ascii="黑体" w:hAnsi="黑体" w:eastAsia="黑体"/>
          <w:sz w:val="32"/>
          <w:szCs w:val="32"/>
          <w:highlight w:val="none"/>
        </w:rPr>
        <w:t>体检</w:t>
      </w:r>
      <w:bookmarkEnd w:id="81"/>
      <w:bookmarkEnd w:id="82"/>
    </w:p>
    <w:p>
      <w:pPr>
        <w:ind w:firstLine="643" w:firstLineChars="200"/>
        <w:outlineLvl w:val="1"/>
        <w:rPr>
          <w:rFonts w:ascii="楷体" w:hAnsi="楷体" w:eastAsia="楷体"/>
          <w:b/>
          <w:sz w:val="32"/>
          <w:szCs w:val="32"/>
          <w:highlight w:val="none"/>
        </w:rPr>
      </w:pPr>
      <w:bookmarkStart w:id="83" w:name="_Toc32234"/>
      <w:bookmarkStart w:id="84" w:name="_Toc27268"/>
      <w:r>
        <w:rPr>
          <w:rFonts w:hint="eastAsia" w:ascii="楷体" w:hAnsi="楷体" w:eastAsia="楷体"/>
          <w:b/>
          <w:sz w:val="32"/>
          <w:szCs w:val="32"/>
          <w:highlight w:val="none"/>
        </w:rPr>
        <w:t>（一）确定体检人选</w:t>
      </w:r>
      <w:bookmarkEnd w:id="83"/>
      <w:bookmarkEnd w:id="84"/>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体检人选由从笔试、面试成绩均合格者中，根据综合总分排名顺序，按岗位拟</w:t>
      </w: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人数</w:t>
      </w:r>
      <w:r>
        <w:rPr>
          <w:rFonts w:ascii="仿宋_GB2312" w:eastAsia="仿宋_GB2312"/>
          <w:sz w:val="32"/>
          <w:szCs w:val="32"/>
          <w:highlight w:val="none"/>
        </w:rPr>
        <w:t>1:1</w:t>
      </w:r>
      <w:r>
        <w:rPr>
          <w:rFonts w:hint="eastAsia" w:ascii="仿宋_GB2312" w:eastAsia="仿宋_GB2312"/>
          <w:sz w:val="32"/>
          <w:szCs w:val="32"/>
          <w:highlight w:val="none"/>
        </w:rPr>
        <w:t>的比例从高分至低分确定。如遇综合总分相同，按以下规则进一步确定名次排列：</w:t>
      </w:r>
    </w:p>
    <w:p>
      <w:pPr>
        <w:ind w:firstLine="640" w:firstLineChars="200"/>
        <w:rPr>
          <w:rFonts w:ascii="仿宋_GB2312" w:eastAsia="仿宋_GB2312"/>
          <w:sz w:val="32"/>
          <w:szCs w:val="32"/>
          <w:highlight w:val="none"/>
        </w:rPr>
      </w:pPr>
      <w:r>
        <w:rPr>
          <w:rFonts w:ascii="仿宋_GB2312" w:eastAsia="仿宋_GB2312"/>
          <w:sz w:val="32"/>
          <w:szCs w:val="32"/>
          <w:highlight w:val="none"/>
        </w:rPr>
        <w:t>1.</w:t>
      </w:r>
      <w:r>
        <w:rPr>
          <w:rFonts w:hint="eastAsia" w:ascii="仿宋_GB2312" w:eastAsia="仿宋_GB2312"/>
          <w:sz w:val="32"/>
          <w:szCs w:val="32"/>
          <w:highlight w:val="none"/>
        </w:rPr>
        <w:t>按笔试成绩从高到低排列；</w:t>
      </w:r>
    </w:p>
    <w:p>
      <w:pPr>
        <w:ind w:firstLine="640" w:firstLineChars="200"/>
        <w:rPr>
          <w:rFonts w:ascii="仿宋_GB2312" w:eastAsia="仿宋_GB2312"/>
          <w:sz w:val="32"/>
          <w:szCs w:val="32"/>
          <w:highlight w:val="none"/>
        </w:rPr>
      </w:pPr>
      <w:r>
        <w:rPr>
          <w:rFonts w:ascii="仿宋_GB2312" w:eastAsia="仿宋_GB2312"/>
          <w:sz w:val="32"/>
          <w:szCs w:val="32"/>
          <w:highlight w:val="none"/>
        </w:rPr>
        <w:t>2.</w:t>
      </w:r>
      <w:r>
        <w:rPr>
          <w:rFonts w:hint="eastAsia" w:ascii="仿宋_GB2312" w:eastAsia="仿宋_GB2312"/>
          <w:sz w:val="32"/>
          <w:szCs w:val="32"/>
          <w:highlight w:val="none"/>
        </w:rPr>
        <w:t>若笔试成绩又相同，按面试成绩排列；</w:t>
      </w:r>
    </w:p>
    <w:p>
      <w:pPr>
        <w:ind w:firstLine="640" w:firstLineChars="200"/>
        <w:rPr>
          <w:rFonts w:ascii="仿宋_GB2312" w:eastAsia="仿宋_GB2312"/>
          <w:sz w:val="32"/>
          <w:szCs w:val="32"/>
          <w:highlight w:val="none"/>
        </w:rPr>
      </w:pPr>
      <w:bookmarkStart w:id="85" w:name="_Toc17027"/>
      <w:bookmarkStart w:id="86" w:name="_Toc8351"/>
      <w:r>
        <w:rPr>
          <w:rFonts w:ascii="仿宋_GB2312" w:eastAsia="仿宋_GB2312"/>
          <w:sz w:val="32"/>
          <w:szCs w:val="32"/>
          <w:highlight w:val="none"/>
        </w:rPr>
        <w:t>3.</w:t>
      </w:r>
      <w:r>
        <w:rPr>
          <w:rFonts w:hint="eastAsia" w:ascii="仿宋_GB2312" w:eastAsia="仿宋_GB2312"/>
          <w:sz w:val="32"/>
          <w:szCs w:val="32"/>
          <w:highlight w:val="none"/>
        </w:rPr>
        <w:t>若面试成绩依然相同，厦门市援鄂医疗队员（名单以厦委〔</w:t>
      </w:r>
      <w:r>
        <w:rPr>
          <w:rFonts w:ascii="仿宋_GB2312" w:eastAsia="仿宋_GB2312"/>
          <w:sz w:val="32"/>
          <w:szCs w:val="32"/>
          <w:highlight w:val="none"/>
        </w:rPr>
        <w:t>2020</w:t>
      </w:r>
      <w:r>
        <w:rPr>
          <w:rFonts w:hint="eastAsia" w:ascii="仿宋_GB2312" w:eastAsia="仿宋_GB2312"/>
          <w:sz w:val="32"/>
          <w:szCs w:val="32"/>
          <w:highlight w:val="none"/>
        </w:rPr>
        <w:t>〕</w:t>
      </w:r>
      <w:r>
        <w:rPr>
          <w:rFonts w:ascii="仿宋_GB2312" w:eastAsia="仿宋_GB2312"/>
          <w:sz w:val="32"/>
          <w:szCs w:val="32"/>
          <w:highlight w:val="none"/>
        </w:rPr>
        <w:t>24</w:t>
      </w:r>
      <w:r>
        <w:rPr>
          <w:rFonts w:hint="eastAsia" w:ascii="仿宋_GB2312" w:eastAsia="仿宋_GB2312"/>
          <w:sz w:val="32"/>
          <w:szCs w:val="32"/>
          <w:highlight w:val="none"/>
        </w:rPr>
        <w:t>号文为准）或我市应征入伍的自主就业退役士兵优先进入体检环节。若无优先对象或存在</w:t>
      </w:r>
      <w:r>
        <w:rPr>
          <w:rFonts w:ascii="仿宋_GB2312" w:eastAsia="仿宋_GB2312"/>
          <w:sz w:val="32"/>
          <w:szCs w:val="32"/>
          <w:highlight w:val="none"/>
        </w:rPr>
        <w:t>2</w:t>
      </w:r>
      <w:r>
        <w:rPr>
          <w:rFonts w:hint="eastAsia" w:ascii="仿宋_GB2312" w:eastAsia="仿宋_GB2312"/>
          <w:sz w:val="32"/>
          <w:szCs w:val="32"/>
          <w:highlight w:val="none"/>
        </w:rPr>
        <w:t>名（含）以上优先对象，可由考生在协商一致的情况下签名同意自行采取简易方式确定最终进入体检环节人选，或由</w:t>
      </w:r>
      <w:r>
        <w:rPr>
          <w:rFonts w:hint="eastAsia" w:ascii="仿宋_GB2312" w:eastAsia="仿宋_GB2312"/>
          <w:sz w:val="32"/>
          <w:szCs w:val="32"/>
          <w:highlight w:val="none"/>
          <w:lang w:eastAsia="zh-CN"/>
        </w:rPr>
        <w:t>厦门医学院</w:t>
      </w:r>
      <w:r>
        <w:rPr>
          <w:rFonts w:hint="eastAsia" w:ascii="仿宋_GB2312" w:eastAsia="仿宋_GB2312"/>
          <w:sz w:val="32"/>
          <w:szCs w:val="32"/>
          <w:highlight w:val="none"/>
        </w:rPr>
        <w:t>组织他们重新进行面试，取重新面试成绩较高者进入体检。</w:t>
      </w:r>
    </w:p>
    <w:p>
      <w:pPr>
        <w:ind w:firstLine="643" w:firstLineChars="200"/>
        <w:outlineLvl w:val="1"/>
        <w:rPr>
          <w:rFonts w:ascii="楷体" w:hAnsi="楷体" w:eastAsia="楷体"/>
          <w:b/>
          <w:sz w:val="32"/>
          <w:szCs w:val="32"/>
          <w:highlight w:val="none"/>
        </w:rPr>
      </w:pPr>
      <w:r>
        <w:rPr>
          <w:rFonts w:hint="eastAsia" w:ascii="楷体" w:hAnsi="楷体" w:eastAsia="楷体"/>
          <w:b/>
          <w:sz w:val="32"/>
          <w:szCs w:val="32"/>
          <w:highlight w:val="none"/>
        </w:rPr>
        <w:t>（二）组织体检</w:t>
      </w:r>
      <w:bookmarkEnd w:id="85"/>
      <w:bookmarkEnd w:id="86"/>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体检由</w:t>
      </w:r>
      <w:r>
        <w:rPr>
          <w:rFonts w:hint="eastAsia" w:ascii="仿宋_GB2312" w:eastAsia="仿宋_GB2312"/>
          <w:sz w:val="32"/>
          <w:szCs w:val="32"/>
          <w:highlight w:val="none"/>
          <w:lang w:eastAsia="zh-CN"/>
        </w:rPr>
        <w:t>用人单位</w:t>
      </w:r>
      <w:r>
        <w:rPr>
          <w:rFonts w:hint="eastAsia" w:ascii="仿宋_GB2312" w:eastAsia="仿宋_GB2312"/>
          <w:sz w:val="32"/>
          <w:szCs w:val="32"/>
          <w:highlight w:val="none"/>
        </w:rPr>
        <w:t>组织实施。体检人员应根据</w:t>
      </w:r>
      <w:r>
        <w:rPr>
          <w:rFonts w:hint="eastAsia" w:ascii="仿宋_GB2312" w:eastAsia="仿宋_GB2312"/>
          <w:sz w:val="32"/>
          <w:szCs w:val="32"/>
          <w:highlight w:val="none"/>
          <w:lang w:eastAsia="zh-CN"/>
        </w:rPr>
        <w:t>用人单位</w:t>
      </w:r>
      <w:r>
        <w:rPr>
          <w:rFonts w:hint="eastAsia" w:ascii="仿宋_GB2312" w:eastAsia="仿宋_GB2312"/>
          <w:sz w:val="32"/>
          <w:szCs w:val="32"/>
          <w:highlight w:val="none"/>
        </w:rPr>
        <w:t>通知要求按时参加并配合体检，否则视为放弃体检资格。</w:t>
      </w:r>
    </w:p>
    <w:p>
      <w:pPr>
        <w:ind w:firstLine="643" w:firstLineChars="200"/>
        <w:outlineLvl w:val="1"/>
        <w:rPr>
          <w:rFonts w:ascii="楷体" w:hAnsi="楷体" w:eastAsia="楷体"/>
          <w:b/>
          <w:sz w:val="32"/>
          <w:szCs w:val="32"/>
          <w:highlight w:val="none"/>
        </w:rPr>
      </w:pPr>
      <w:bookmarkStart w:id="87" w:name="_Toc20156"/>
      <w:bookmarkStart w:id="88" w:name="_Toc5442"/>
      <w:r>
        <w:rPr>
          <w:rFonts w:hint="eastAsia" w:ascii="楷体" w:hAnsi="楷体" w:eastAsia="楷体"/>
          <w:b/>
          <w:sz w:val="32"/>
          <w:szCs w:val="32"/>
          <w:highlight w:val="none"/>
        </w:rPr>
        <w:t>（三）体检依据</w:t>
      </w:r>
      <w:bookmarkEnd w:id="87"/>
      <w:bookmarkEnd w:id="88"/>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本次</w:t>
      </w: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体检参照《公务员录用体检通用标准（试行）》和《公务员录用体检操作手册（试行）》和《关于修订〈公务员录用体检通用标准（试行）〉及〈公务员录用体检操作手册（试行）〉的通知》（人社部发〔</w:t>
      </w:r>
      <w:r>
        <w:rPr>
          <w:rFonts w:ascii="仿宋_GB2312" w:eastAsia="仿宋_GB2312"/>
          <w:sz w:val="32"/>
          <w:szCs w:val="32"/>
          <w:highlight w:val="none"/>
        </w:rPr>
        <w:t>2016</w:t>
      </w:r>
      <w:r>
        <w:rPr>
          <w:rFonts w:hint="eastAsia" w:ascii="仿宋_GB2312" w:eastAsia="仿宋_GB2312"/>
          <w:sz w:val="32"/>
          <w:szCs w:val="32"/>
          <w:highlight w:val="none"/>
        </w:rPr>
        <w:t>〕</w:t>
      </w:r>
      <w:r>
        <w:rPr>
          <w:rFonts w:ascii="仿宋_GB2312" w:eastAsia="仿宋_GB2312"/>
          <w:sz w:val="32"/>
          <w:szCs w:val="32"/>
          <w:highlight w:val="none"/>
        </w:rPr>
        <w:t>140</w:t>
      </w:r>
      <w:r>
        <w:rPr>
          <w:rFonts w:hint="eastAsia" w:ascii="仿宋_GB2312" w:eastAsia="仿宋_GB2312"/>
          <w:sz w:val="32"/>
          <w:szCs w:val="32"/>
          <w:highlight w:val="none"/>
        </w:rPr>
        <w:t>号）等文件的要求</w:t>
      </w:r>
      <w:r>
        <w:rPr>
          <w:rFonts w:ascii="仿宋_GB2312" w:eastAsia="仿宋_GB2312"/>
          <w:sz w:val="32"/>
          <w:szCs w:val="32"/>
          <w:highlight w:val="none"/>
        </w:rPr>
        <w:t>,</w:t>
      </w:r>
      <w:r>
        <w:rPr>
          <w:rFonts w:hint="eastAsia" w:ascii="仿宋_GB2312" w:eastAsia="仿宋_GB2312"/>
          <w:sz w:val="32"/>
          <w:szCs w:val="32"/>
          <w:highlight w:val="none"/>
        </w:rPr>
        <w:t>具体检测方法由体检医院结合实际确定。</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从事放射岗位人员还需根据《放射工作人员职业健康监护技术规范》（卫通〔</w:t>
      </w:r>
      <w:r>
        <w:rPr>
          <w:rFonts w:ascii="仿宋_GB2312" w:eastAsia="仿宋_GB2312"/>
          <w:sz w:val="32"/>
          <w:szCs w:val="32"/>
          <w:highlight w:val="none"/>
        </w:rPr>
        <w:t>2011</w:t>
      </w:r>
      <w:r>
        <w:rPr>
          <w:rFonts w:hint="eastAsia" w:ascii="仿宋_GB2312" w:eastAsia="仿宋_GB2312"/>
          <w:sz w:val="32"/>
          <w:szCs w:val="32"/>
          <w:highlight w:val="none"/>
        </w:rPr>
        <w:t>〕</w:t>
      </w:r>
      <w:r>
        <w:rPr>
          <w:rFonts w:ascii="仿宋_GB2312" w:eastAsia="仿宋_GB2312"/>
          <w:sz w:val="32"/>
          <w:szCs w:val="32"/>
          <w:highlight w:val="none"/>
        </w:rPr>
        <w:t>2</w:t>
      </w:r>
      <w:r>
        <w:rPr>
          <w:rFonts w:hint="eastAsia" w:ascii="仿宋_GB2312" w:eastAsia="仿宋_GB2312"/>
          <w:sz w:val="32"/>
          <w:szCs w:val="32"/>
          <w:highlight w:val="none"/>
        </w:rPr>
        <w:t>号）完成岗前必检项目的体检。</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体（复）检费用个人自理。</w:t>
      </w:r>
    </w:p>
    <w:p>
      <w:pPr>
        <w:ind w:firstLine="643" w:firstLineChars="200"/>
        <w:outlineLvl w:val="1"/>
        <w:rPr>
          <w:rFonts w:ascii="楷体" w:hAnsi="楷体" w:eastAsia="楷体"/>
          <w:b/>
          <w:sz w:val="32"/>
          <w:szCs w:val="32"/>
          <w:highlight w:val="none"/>
        </w:rPr>
      </w:pPr>
      <w:bookmarkStart w:id="89" w:name="_Toc13573"/>
      <w:bookmarkStart w:id="90" w:name="_Toc23446"/>
      <w:r>
        <w:rPr>
          <w:rFonts w:hint="eastAsia" w:ascii="楷体" w:hAnsi="楷体" w:eastAsia="楷体"/>
          <w:b/>
          <w:sz w:val="32"/>
          <w:szCs w:val="32"/>
          <w:highlight w:val="none"/>
        </w:rPr>
        <w:t>（四）体检复检</w:t>
      </w:r>
      <w:bookmarkEnd w:id="89"/>
      <w:bookmarkEnd w:id="90"/>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复检参照人力资源社会保障部、卫生部、国家公务员《关于进一步做好公务员考试录用体检工作的通知》</w:t>
      </w:r>
      <w:r>
        <w:rPr>
          <w:rFonts w:ascii="仿宋_GB2312" w:eastAsia="仿宋_GB2312"/>
          <w:sz w:val="32"/>
          <w:szCs w:val="32"/>
          <w:highlight w:val="none"/>
        </w:rPr>
        <w:t>(</w:t>
      </w:r>
      <w:r>
        <w:rPr>
          <w:rFonts w:hint="eastAsia" w:ascii="仿宋_GB2312" w:eastAsia="仿宋_GB2312"/>
          <w:sz w:val="32"/>
          <w:szCs w:val="32"/>
          <w:highlight w:val="none"/>
        </w:rPr>
        <w:t>人社部发〔</w:t>
      </w:r>
      <w:r>
        <w:rPr>
          <w:rFonts w:ascii="仿宋_GB2312" w:eastAsia="仿宋_GB2312"/>
          <w:sz w:val="32"/>
          <w:szCs w:val="32"/>
          <w:highlight w:val="none"/>
        </w:rPr>
        <w:t>2012</w:t>
      </w:r>
      <w:r>
        <w:rPr>
          <w:rFonts w:hint="eastAsia" w:ascii="仿宋_GB2312" w:eastAsia="仿宋_GB2312"/>
          <w:sz w:val="32"/>
          <w:szCs w:val="32"/>
          <w:highlight w:val="none"/>
        </w:rPr>
        <w:t>〕</w:t>
      </w:r>
      <w:r>
        <w:rPr>
          <w:rFonts w:ascii="仿宋_GB2312" w:eastAsia="仿宋_GB2312"/>
          <w:sz w:val="32"/>
          <w:szCs w:val="32"/>
          <w:highlight w:val="none"/>
        </w:rPr>
        <w:t>65</w:t>
      </w:r>
      <w:r>
        <w:rPr>
          <w:rFonts w:hint="eastAsia" w:ascii="仿宋_GB2312" w:eastAsia="仿宋_GB2312"/>
          <w:sz w:val="32"/>
          <w:szCs w:val="32"/>
          <w:highlight w:val="none"/>
        </w:rPr>
        <w:t>号</w:t>
      </w:r>
      <w:r>
        <w:rPr>
          <w:rFonts w:ascii="仿宋_GB2312" w:eastAsia="仿宋_GB2312"/>
          <w:sz w:val="32"/>
          <w:szCs w:val="32"/>
          <w:highlight w:val="none"/>
        </w:rPr>
        <w:t>)</w:t>
      </w:r>
      <w:r>
        <w:rPr>
          <w:rFonts w:hint="eastAsia" w:ascii="仿宋_GB2312" w:eastAsia="仿宋_GB2312"/>
          <w:sz w:val="32"/>
          <w:szCs w:val="32"/>
          <w:highlight w:val="none"/>
        </w:rPr>
        <w:t>的有关规定执行，其中：</w:t>
      </w:r>
    </w:p>
    <w:p>
      <w:pPr>
        <w:ind w:firstLine="640" w:firstLineChars="200"/>
        <w:rPr>
          <w:rFonts w:ascii="仿宋_GB2312" w:eastAsia="仿宋_GB2312"/>
          <w:sz w:val="32"/>
          <w:szCs w:val="32"/>
          <w:highlight w:val="none"/>
        </w:rPr>
      </w:pPr>
      <w:r>
        <w:rPr>
          <w:rFonts w:ascii="仿宋_GB2312" w:eastAsia="仿宋_GB2312"/>
          <w:sz w:val="32"/>
          <w:szCs w:val="32"/>
          <w:highlight w:val="none"/>
        </w:rPr>
        <w:t xml:space="preserve">1. </w:t>
      </w:r>
      <w:r>
        <w:rPr>
          <w:rFonts w:hint="eastAsia" w:ascii="仿宋_GB2312" w:eastAsia="仿宋_GB2312"/>
          <w:sz w:val="32"/>
          <w:szCs w:val="32"/>
          <w:highlight w:val="none"/>
        </w:rPr>
        <w:t>对心率、视力、听力、血压等项目达不到体检合格标准的，安排当日复检；对边缘性心脏杂音、病理性心电图、病理性杂音、频发早搏（心电图证实）等项目达不到体检合格标准的，安排当场复检。</w:t>
      </w:r>
    </w:p>
    <w:p>
      <w:pPr>
        <w:ind w:firstLine="640" w:firstLineChars="200"/>
        <w:rPr>
          <w:rFonts w:ascii="仿宋_GB2312" w:eastAsia="仿宋_GB2312"/>
          <w:sz w:val="32"/>
          <w:szCs w:val="32"/>
          <w:highlight w:val="none"/>
        </w:rPr>
      </w:pPr>
      <w:r>
        <w:rPr>
          <w:rFonts w:ascii="仿宋_GB2312" w:eastAsia="仿宋_GB2312"/>
          <w:sz w:val="32"/>
          <w:szCs w:val="32"/>
          <w:highlight w:val="none"/>
        </w:rPr>
        <w:t>2.</w:t>
      </w:r>
      <w:r>
        <w:rPr>
          <w:rFonts w:hint="eastAsia" w:ascii="仿宋_GB2312" w:eastAsia="仿宋_GB2312"/>
          <w:sz w:val="32"/>
          <w:szCs w:val="32"/>
          <w:highlight w:val="none"/>
        </w:rPr>
        <w:t>体检人员对非当日或非当场复检的体检项目结果有疑义的，可在接到体检结论的</w:t>
      </w:r>
      <w:r>
        <w:rPr>
          <w:rFonts w:ascii="仿宋_GB2312" w:eastAsia="仿宋_GB2312"/>
          <w:sz w:val="32"/>
          <w:szCs w:val="32"/>
          <w:highlight w:val="none"/>
        </w:rPr>
        <w:t>7</w:t>
      </w:r>
      <w:r>
        <w:rPr>
          <w:rFonts w:hint="eastAsia" w:ascii="仿宋_GB2312" w:eastAsia="仿宋_GB2312"/>
          <w:sz w:val="32"/>
          <w:szCs w:val="32"/>
          <w:highlight w:val="none"/>
        </w:rPr>
        <w:t>日内提出复检申请，由</w:t>
      </w:r>
      <w:r>
        <w:rPr>
          <w:rFonts w:hint="eastAsia" w:ascii="仿宋_GB2312" w:eastAsia="仿宋_GB2312"/>
          <w:sz w:val="32"/>
          <w:szCs w:val="32"/>
          <w:highlight w:val="none"/>
          <w:lang w:eastAsia="zh-CN"/>
        </w:rPr>
        <w:t>用人单位</w:t>
      </w:r>
      <w:r>
        <w:rPr>
          <w:rFonts w:hint="eastAsia" w:ascii="仿宋_GB2312" w:eastAsia="仿宋_GB2312"/>
          <w:sz w:val="32"/>
          <w:szCs w:val="32"/>
          <w:highlight w:val="none"/>
        </w:rPr>
        <w:t>另行指定医院复检。复检时不得告知复检项目。复检只能进行</w:t>
      </w:r>
      <w:r>
        <w:rPr>
          <w:rFonts w:ascii="仿宋_GB2312" w:eastAsia="仿宋_GB2312"/>
          <w:sz w:val="32"/>
          <w:szCs w:val="32"/>
          <w:highlight w:val="none"/>
        </w:rPr>
        <w:t>1</w:t>
      </w:r>
      <w:r>
        <w:rPr>
          <w:rFonts w:hint="eastAsia" w:ascii="仿宋_GB2312" w:eastAsia="仿宋_GB2312"/>
          <w:sz w:val="32"/>
          <w:szCs w:val="32"/>
          <w:highlight w:val="none"/>
        </w:rPr>
        <w:t>次，体检结论以复检的结果为准。自行体检的结果一律无效。</w:t>
      </w:r>
    </w:p>
    <w:p>
      <w:pPr>
        <w:ind w:firstLine="640" w:firstLineChars="200"/>
        <w:rPr>
          <w:rFonts w:ascii="仿宋_GB2312" w:eastAsia="仿宋_GB2312"/>
          <w:sz w:val="32"/>
          <w:szCs w:val="32"/>
          <w:highlight w:val="none"/>
        </w:rPr>
      </w:pPr>
      <w:r>
        <w:rPr>
          <w:rFonts w:ascii="仿宋_GB2312" w:eastAsia="仿宋_GB2312"/>
          <w:sz w:val="32"/>
          <w:szCs w:val="32"/>
          <w:highlight w:val="none"/>
        </w:rPr>
        <w:t>3.</w:t>
      </w:r>
      <w:r>
        <w:rPr>
          <w:rFonts w:hint="eastAsia" w:ascii="仿宋_GB2312" w:eastAsia="仿宋_GB2312"/>
          <w:sz w:val="32"/>
          <w:szCs w:val="32"/>
          <w:highlight w:val="none"/>
          <w:lang w:eastAsia="zh-CN"/>
        </w:rPr>
        <w:t>用人单位</w:t>
      </w:r>
      <w:r>
        <w:rPr>
          <w:rFonts w:hint="eastAsia" w:ascii="仿宋_GB2312" w:eastAsia="仿宋_GB2312"/>
          <w:sz w:val="32"/>
          <w:szCs w:val="32"/>
          <w:highlight w:val="none"/>
        </w:rPr>
        <w:t>对应聘人员体检结论有疑义的，也可在接到体检结论通知之日起</w:t>
      </w:r>
      <w:r>
        <w:rPr>
          <w:rFonts w:ascii="仿宋_GB2312" w:eastAsia="仿宋_GB2312"/>
          <w:sz w:val="32"/>
          <w:szCs w:val="32"/>
          <w:highlight w:val="none"/>
        </w:rPr>
        <w:t>7</w:t>
      </w:r>
      <w:r>
        <w:rPr>
          <w:rFonts w:hint="eastAsia" w:ascii="仿宋_GB2312" w:eastAsia="仿宋_GB2312"/>
          <w:sz w:val="32"/>
          <w:szCs w:val="32"/>
          <w:highlight w:val="none"/>
        </w:rPr>
        <w:t>日内决定是否安排应聘人员复检。</w:t>
      </w:r>
    </w:p>
    <w:p>
      <w:pPr>
        <w:ind w:firstLine="643" w:firstLineChars="200"/>
        <w:outlineLvl w:val="1"/>
        <w:rPr>
          <w:rFonts w:ascii="楷体" w:hAnsi="楷体" w:eastAsia="楷体"/>
          <w:b/>
          <w:sz w:val="32"/>
          <w:szCs w:val="32"/>
          <w:highlight w:val="none"/>
        </w:rPr>
      </w:pPr>
      <w:bookmarkStart w:id="91" w:name="_Toc11349"/>
      <w:bookmarkStart w:id="92" w:name="_Toc19064"/>
      <w:r>
        <w:rPr>
          <w:rFonts w:hint="eastAsia" w:ascii="楷体" w:hAnsi="楷体" w:eastAsia="楷体"/>
          <w:b/>
          <w:sz w:val="32"/>
          <w:szCs w:val="32"/>
          <w:highlight w:val="none"/>
        </w:rPr>
        <w:t>（五）可延迟体检的情形</w:t>
      </w:r>
      <w:bookmarkEnd w:id="91"/>
      <w:bookmarkEnd w:id="92"/>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女性报考者因怀孕、哺乳期需申请延期体检的，应提供相应的医学证明并与组织体检单位约定延缓体检的合理期限。</w:t>
      </w:r>
    </w:p>
    <w:p>
      <w:pPr>
        <w:ind w:firstLine="640" w:firstLineChars="200"/>
        <w:outlineLvl w:val="0"/>
        <w:rPr>
          <w:rFonts w:ascii="黑体" w:hAnsi="黑体" w:eastAsia="黑体"/>
          <w:sz w:val="32"/>
          <w:szCs w:val="32"/>
          <w:highlight w:val="none"/>
        </w:rPr>
      </w:pPr>
      <w:bookmarkStart w:id="93" w:name="_Toc28818"/>
      <w:bookmarkStart w:id="94" w:name="_Toc8872"/>
      <w:r>
        <w:rPr>
          <w:rFonts w:hint="eastAsia" w:ascii="黑体" w:hAnsi="黑体" w:eastAsia="黑体"/>
          <w:sz w:val="32"/>
          <w:szCs w:val="32"/>
          <w:highlight w:val="none"/>
        </w:rPr>
        <w:t>十一、考察</w:t>
      </w:r>
      <w:bookmarkEnd w:id="93"/>
      <w:bookmarkEnd w:id="94"/>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对体检合格的报考人员，由</w:t>
      </w:r>
      <w:r>
        <w:rPr>
          <w:rFonts w:hint="eastAsia" w:ascii="仿宋_GB2312" w:eastAsia="仿宋_GB2312"/>
          <w:sz w:val="32"/>
          <w:szCs w:val="32"/>
          <w:highlight w:val="none"/>
          <w:lang w:eastAsia="zh-CN"/>
        </w:rPr>
        <w:t>用人单位</w:t>
      </w:r>
      <w:r>
        <w:rPr>
          <w:rFonts w:hint="eastAsia" w:ascii="仿宋_GB2312" w:eastAsia="仿宋_GB2312"/>
          <w:sz w:val="32"/>
          <w:szCs w:val="32"/>
          <w:highlight w:val="none"/>
        </w:rPr>
        <w:t>组织对其政治思想、道德品质、廉洁自律、能力素质、工作态度、学习及工作表现以及是否需要回避等内容进行考察，并对报考人员资格条件再次进行审核。</w:t>
      </w:r>
      <w:r>
        <w:rPr>
          <w:rFonts w:ascii="仿宋_GB2312" w:eastAsia="仿宋_GB2312"/>
          <w:sz w:val="32"/>
          <w:szCs w:val="32"/>
          <w:highlight w:val="none"/>
        </w:rPr>
        <w:t xml:space="preserve"> </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考察工作前，通过中国执行信息公开网（</w:t>
      </w:r>
      <w:r>
        <w:rPr>
          <w:rFonts w:ascii="仿宋_GB2312" w:eastAsia="仿宋_GB2312"/>
          <w:sz w:val="32"/>
          <w:szCs w:val="32"/>
          <w:highlight w:val="none"/>
        </w:rPr>
        <w:t>http://zxgk.court.gov.cn/</w:t>
      </w:r>
      <w:r>
        <w:rPr>
          <w:rFonts w:hint="eastAsia" w:ascii="仿宋_GB2312" w:eastAsia="仿宋_GB2312"/>
          <w:sz w:val="32"/>
          <w:szCs w:val="32"/>
          <w:highlight w:val="none"/>
        </w:rPr>
        <w:t>）核实考察对象有无失信被执行的情况。发现考察对象被列为失信被执行人的，应查看对应案号并联系执行法院，函询、核实被执行人履行义务的进展情况。被执行人已履行义务的，应在</w:t>
      </w:r>
      <w:r>
        <w:rPr>
          <w:rFonts w:hint="eastAsia" w:ascii="仿宋_GB2312" w:eastAsia="仿宋_GB2312"/>
          <w:sz w:val="32"/>
          <w:szCs w:val="32"/>
          <w:highlight w:val="none"/>
          <w:lang w:eastAsia="zh-CN"/>
        </w:rPr>
        <w:t>用人单位</w:t>
      </w:r>
      <w:r>
        <w:rPr>
          <w:rFonts w:hint="eastAsia" w:ascii="仿宋_GB2312" w:eastAsia="仿宋_GB2312"/>
          <w:sz w:val="32"/>
          <w:szCs w:val="32"/>
          <w:highlight w:val="none"/>
        </w:rPr>
        <w:t>约定的期限内提供执行法院的书面证明，方可进行考察；尚未履行义务的，取消其考察资格。拟</w:t>
      </w:r>
      <w:r>
        <w:rPr>
          <w:rFonts w:hint="eastAsia" w:ascii="仿宋_GB2312" w:eastAsia="仿宋_GB2312"/>
          <w:sz w:val="32"/>
          <w:szCs w:val="32"/>
          <w:highlight w:val="none"/>
          <w:lang w:eastAsia="zh-CN"/>
        </w:rPr>
        <w:t>录取</w:t>
      </w:r>
      <w:r>
        <w:rPr>
          <w:rFonts w:hint="eastAsia" w:ascii="仿宋_GB2312" w:eastAsia="仿宋_GB2312"/>
          <w:sz w:val="32"/>
          <w:szCs w:val="32"/>
          <w:highlight w:val="none"/>
        </w:rPr>
        <w:t>人员在试用期</w:t>
      </w:r>
      <w:r>
        <w:rPr>
          <w:rFonts w:hint="eastAsia" w:ascii="仿宋_GB2312" w:eastAsia="仿宋_GB2312"/>
          <w:sz w:val="32"/>
          <w:szCs w:val="32"/>
          <w:highlight w:val="none"/>
          <w:lang w:val="en-US" w:eastAsia="zh-CN"/>
        </w:rPr>
        <w:t>内</w:t>
      </w:r>
      <w:r>
        <w:rPr>
          <w:rFonts w:hint="eastAsia" w:ascii="仿宋_GB2312" w:eastAsia="仿宋_GB2312"/>
          <w:sz w:val="32"/>
          <w:szCs w:val="32"/>
          <w:highlight w:val="none"/>
        </w:rPr>
        <w:t>被列为失信被执行人的，取消其</w:t>
      </w:r>
      <w:r>
        <w:rPr>
          <w:rFonts w:hint="eastAsia" w:ascii="仿宋_GB2312" w:eastAsia="仿宋_GB2312"/>
          <w:sz w:val="32"/>
          <w:szCs w:val="32"/>
          <w:highlight w:val="none"/>
          <w:lang w:eastAsia="zh-CN"/>
        </w:rPr>
        <w:t>录取</w:t>
      </w:r>
      <w:r>
        <w:rPr>
          <w:rFonts w:hint="eastAsia" w:ascii="仿宋_GB2312" w:eastAsia="仿宋_GB2312"/>
          <w:sz w:val="32"/>
          <w:szCs w:val="32"/>
          <w:highlight w:val="none"/>
        </w:rPr>
        <w:t>资格。</w:t>
      </w:r>
    </w:p>
    <w:p>
      <w:pPr>
        <w:ind w:firstLine="640" w:firstLineChars="200"/>
        <w:outlineLvl w:val="0"/>
        <w:rPr>
          <w:rFonts w:hint="eastAsia" w:ascii="黑体" w:hAnsi="黑体" w:eastAsia="黑体"/>
          <w:sz w:val="32"/>
          <w:szCs w:val="32"/>
          <w:highlight w:val="none"/>
          <w:lang w:eastAsia="zh-CN"/>
        </w:rPr>
      </w:pPr>
      <w:bookmarkStart w:id="95" w:name="_Toc9126"/>
      <w:bookmarkStart w:id="96" w:name="_Toc1590"/>
      <w:r>
        <w:rPr>
          <w:rFonts w:hint="eastAsia" w:ascii="黑体" w:hAnsi="黑体" w:eastAsia="黑体"/>
          <w:sz w:val="32"/>
          <w:szCs w:val="32"/>
          <w:highlight w:val="none"/>
        </w:rPr>
        <w:t>十</w:t>
      </w:r>
      <w:r>
        <w:rPr>
          <w:rFonts w:hint="eastAsia" w:ascii="黑体" w:hAnsi="黑体" w:eastAsia="黑体"/>
          <w:sz w:val="32"/>
          <w:szCs w:val="32"/>
          <w:highlight w:val="none"/>
          <w:lang w:eastAsia="zh-CN"/>
        </w:rPr>
        <w:t>二</w:t>
      </w:r>
      <w:r>
        <w:rPr>
          <w:rFonts w:hint="eastAsia" w:ascii="黑体" w:hAnsi="黑体" w:eastAsia="黑体"/>
          <w:sz w:val="32"/>
          <w:szCs w:val="32"/>
          <w:highlight w:val="none"/>
        </w:rPr>
        <w:t>、</w:t>
      </w:r>
      <w:bookmarkEnd w:id="95"/>
      <w:bookmarkEnd w:id="96"/>
      <w:r>
        <w:rPr>
          <w:rFonts w:hint="eastAsia" w:ascii="黑体" w:hAnsi="黑体" w:eastAsia="黑体"/>
          <w:sz w:val="32"/>
          <w:szCs w:val="32"/>
          <w:highlight w:val="none"/>
          <w:lang w:eastAsia="zh-CN"/>
        </w:rPr>
        <w:t>录取</w:t>
      </w:r>
    </w:p>
    <w:p>
      <w:pPr>
        <w:ind w:firstLine="643" w:firstLineChars="200"/>
        <w:outlineLvl w:val="1"/>
        <w:rPr>
          <w:rFonts w:ascii="楷体" w:hAnsi="楷体" w:eastAsia="楷体"/>
          <w:b/>
          <w:sz w:val="32"/>
          <w:szCs w:val="32"/>
          <w:highlight w:val="none"/>
        </w:rPr>
      </w:pPr>
      <w:bookmarkStart w:id="97" w:name="_Toc25406"/>
      <w:bookmarkStart w:id="98" w:name="_Toc11638"/>
      <w:r>
        <w:rPr>
          <w:rFonts w:hint="eastAsia" w:ascii="楷体" w:hAnsi="楷体" w:eastAsia="楷体"/>
          <w:b/>
          <w:sz w:val="32"/>
          <w:szCs w:val="32"/>
          <w:highlight w:val="none"/>
        </w:rPr>
        <w:t>（一）手续办理</w:t>
      </w:r>
      <w:bookmarkEnd w:id="97"/>
      <w:bookmarkEnd w:id="98"/>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公示结果无异议，或经</w:t>
      </w:r>
      <w:r>
        <w:rPr>
          <w:rFonts w:hint="eastAsia" w:ascii="仿宋_GB2312" w:eastAsia="仿宋_GB2312"/>
          <w:sz w:val="32"/>
          <w:szCs w:val="32"/>
          <w:highlight w:val="none"/>
          <w:lang w:eastAsia="zh-CN"/>
        </w:rPr>
        <w:t>用人单位</w:t>
      </w:r>
      <w:r>
        <w:rPr>
          <w:rFonts w:hint="eastAsia" w:ascii="仿宋_GB2312" w:eastAsia="仿宋_GB2312"/>
          <w:sz w:val="32"/>
          <w:szCs w:val="32"/>
          <w:highlight w:val="none"/>
        </w:rPr>
        <w:t>报</w:t>
      </w:r>
      <w:r>
        <w:rPr>
          <w:rFonts w:hint="eastAsia" w:ascii="仿宋_GB2312" w:eastAsia="仿宋_GB2312"/>
          <w:sz w:val="32"/>
          <w:szCs w:val="32"/>
          <w:highlight w:val="none"/>
          <w:lang w:eastAsia="zh-CN"/>
        </w:rPr>
        <w:t>厦门医学院</w:t>
      </w:r>
      <w:r>
        <w:rPr>
          <w:rFonts w:hint="eastAsia" w:ascii="仿宋_GB2312" w:eastAsia="仿宋_GB2312"/>
          <w:sz w:val="32"/>
          <w:szCs w:val="32"/>
          <w:highlight w:val="none"/>
        </w:rPr>
        <w:t>核实不影响</w:t>
      </w:r>
      <w:r>
        <w:rPr>
          <w:rFonts w:hint="eastAsia" w:ascii="仿宋_GB2312" w:eastAsia="仿宋_GB2312"/>
          <w:sz w:val="32"/>
          <w:szCs w:val="32"/>
          <w:highlight w:val="none"/>
          <w:lang w:eastAsia="zh-CN"/>
        </w:rPr>
        <w:t>录取</w:t>
      </w:r>
      <w:r>
        <w:rPr>
          <w:rFonts w:hint="eastAsia" w:ascii="仿宋_GB2312" w:eastAsia="仿宋_GB2312"/>
          <w:sz w:val="32"/>
          <w:szCs w:val="32"/>
          <w:highlight w:val="none"/>
        </w:rPr>
        <w:t>的，</w:t>
      </w:r>
      <w:r>
        <w:rPr>
          <w:rFonts w:hint="eastAsia" w:ascii="仿宋_GB2312" w:eastAsia="仿宋_GB2312"/>
          <w:sz w:val="32"/>
          <w:szCs w:val="32"/>
          <w:highlight w:val="none"/>
          <w:lang w:eastAsia="zh-CN"/>
        </w:rPr>
        <w:t>拟录取</w:t>
      </w:r>
      <w:r>
        <w:rPr>
          <w:rFonts w:hint="eastAsia" w:ascii="仿宋_GB2312" w:eastAsia="仿宋_GB2312"/>
          <w:sz w:val="32"/>
          <w:szCs w:val="32"/>
          <w:highlight w:val="none"/>
        </w:rPr>
        <w:t>人员应于公示期满后</w:t>
      </w:r>
      <w:r>
        <w:rPr>
          <w:rFonts w:ascii="仿宋_GB2312" w:eastAsia="仿宋_GB2312"/>
          <w:sz w:val="32"/>
          <w:szCs w:val="32"/>
          <w:highlight w:val="none"/>
        </w:rPr>
        <w:t>5</w:t>
      </w:r>
      <w:r>
        <w:rPr>
          <w:rFonts w:hint="eastAsia" w:ascii="仿宋_GB2312" w:eastAsia="仿宋_GB2312"/>
          <w:sz w:val="32"/>
          <w:szCs w:val="32"/>
          <w:highlight w:val="none"/>
        </w:rPr>
        <w:t>个月内提供办理</w:t>
      </w:r>
      <w:r>
        <w:rPr>
          <w:rFonts w:hint="eastAsia" w:ascii="仿宋_GB2312" w:eastAsia="仿宋_GB2312"/>
          <w:sz w:val="32"/>
          <w:szCs w:val="32"/>
          <w:highlight w:val="none"/>
          <w:lang w:eastAsia="zh-CN"/>
        </w:rPr>
        <w:t>录取</w:t>
      </w:r>
      <w:r>
        <w:rPr>
          <w:rFonts w:hint="eastAsia" w:ascii="仿宋_GB2312" w:eastAsia="仿宋_GB2312"/>
          <w:sz w:val="32"/>
          <w:szCs w:val="32"/>
          <w:highlight w:val="none"/>
        </w:rPr>
        <w:t>手续所需的全部资料（含个人人事档案）。因情况确实特殊、无法在上述期限内提供完备资料的，</w:t>
      </w:r>
      <w:r>
        <w:rPr>
          <w:rFonts w:hint="eastAsia" w:ascii="仿宋_GB2312" w:hAnsi="仿宋_GB2312" w:eastAsia="仿宋_GB2312"/>
          <w:sz w:val="32"/>
          <w:szCs w:val="32"/>
          <w:highlight w:val="none"/>
          <w:lang w:eastAsia="zh-CN"/>
        </w:rPr>
        <w:t>拟录取</w:t>
      </w:r>
      <w:r>
        <w:rPr>
          <w:rFonts w:hint="eastAsia" w:ascii="仿宋_GB2312" w:hAnsi="仿宋_GB2312" w:eastAsia="仿宋_GB2312"/>
          <w:sz w:val="32"/>
          <w:szCs w:val="32"/>
          <w:highlight w:val="none"/>
        </w:rPr>
        <w:t>人员需提交书面申请并与</w:t>
      </w:r>
      <w:r>
        <w:rPr>
          <w:rFonts w:hint="eastAsia" w:ascii="仿宋_GB2312" w:hAnsi="仿宋_GB2312" w:eastAsia="仿宋_GB2312"/>
          <w:sz w:val="32"/>
          <w:szCs w:val="32"/>
          <w:highlight w:val="none"/>
          <w:lang w:eastAsia="zh-CN"/>
        </w:rPr>
        <w:t>用人单位</w:t>
      </w:r>
      <w:r>
        <w:rPr>
          <w:rFonts w:hint="eastAsia" w:ascii="仿宋_GB2312" w:hAnsi="仿宋_GB2312" w:eastAsia="仿宋_GB2312"/>
          <w:sz w:val="32"/>
          <w:szCs w:val="32"/>
          <w:highlight w:val="none"/>
        </w:rPr>
        <w:t>协商一致后报</w:t>
      </w:r>
      <w:r>
        <w:rPr>
          <w:rFonts w:hint="eastAsia" w:ascii="仿宋_GB2312" w:hAnsi="仿宋_GB2312" w:eastAsia="仿宋_GB2312"/>
          <w:sz w:val="32"/>
          <w:szCs w:val="32"/>
          <w:highlight w:val="none"/>
          <w:lang w:eastAsia="zh-CN"/>
        </w:rPr>
        <w:t>厦门医学院</w:t>
      </w:r>
      <w:r>
        <w:rPr>
          <w:rFonts w:hint="eastAsia" w:ascii="仿宋_GB2312" w:hAnsi="仿宋_GB2312" w:eastAsia="仿宋_GB2312"/>
          <w:sz w:val="32"/>
          <w:szCs w:val="32"/>
          <w:highlight w:val="none"/>
        </w:rPr>
        <w:t>核准，</w:t>
      </w:r>
      <w:r>
        <w:rPr>
          <w:rFonts w:hint="eastAsia" w:ascii="仿宋_GB2312" w:eastAsia="仿宋_GB2312"/>
          <w:sz w:val="32"/>
          <w:szCs w:val="32"/>
          <w:highlight w:val="none"/>
        </w:rPr>
        <w:t>可适当延长资料提交时限（延长时限原则上不超过</w:t>
      </w:r>
      <w:r>
        <w:rPr>
          <w:rFonts w:ascii="仿宋_GB2312" w:eastAsia="仿宋_GB2312"/>
          <w:sz w:val="32"/>
          <w:szCs w:val="32"/>
          <w:highlight w:val="none"/>
        </w:rPr>
        <w:t>2</w:t>
      </w:r>
      <w:r>
        <w:rPr>
          <w:rFonts w:hint="eastAsia" w:ascii="仿宋_GB2312" w:eastAsia="仿宋_GB2312"/>
          <w:sz w:val="32"/>
          <w:szCs w:val="32"/>
          <w:highlight w:val="none"/>
        </w:rPr>
        <w:t>个月），否则视为放弃</w:t>
      </w:r>
      <w:r>
        <w:rPr>
          <w:rFonts w:hint="eastAsia" w:ascii="仿宋_GB2312" w:eastAsia="仿宋_GB2312"/>
          <w:sz w:val="32"/>
          <w:szCs w:val="32"/>
          <w:highlight w:val="none"/>
          <w:lang w:eastAsia="zh-CN"/>
        </w:rPr>
        <w:t>录取</w:t>
      </w:r>
      <w:r>
        <w:rPr>
          <w:rFonts w:hint="eastAsia" w:ascii="仿宋_GB2312" w:eastAsia="仿宋_GB2312"/>
          <w:sz w:val="32"/>
          <w:szCs w:val="32"/>
          <w:highlight w:val="none"/>
        </w:rPr>
        <w:t>资格。</w:t>
      </w:r>
    </w:p>
    <w:p>
      <w:pPr>
        <w:ind w:firstLine="643" w:firstLineChars="200"/>
        <w:outlineLvl w:val="1"/>
        <w:rPr>
          <w:rFonts w:hint="eastAsia" w:ascii="楷体" w:hAnsi="楷体" w:eastAsia="楷体"/>
          <w:b/>
          <w:sz w:val="32"/>
          <w:szCs w:val="32"/>
          <w:highlight w:val="none"/>
          <w:lang w:eastAsia="zh-CN"/>
        </w:rPr>
      </w:pPr>
      <w:bookmarkStart w:id="99" w:name="_Toc3132"/>
      <w:bookmarkStart w:id="100" w:name="_Toc974"/>
      <w:r>
        <w:rPr>
          <w:rFonts w:hint="eastAsia" w:ascii="楷体" w:hAnsi="楷体" w:eastAsia="楷体"/>
          <w:b/>
          <w:sz w:val="32"/>
          <w:szCs w:val="32"/>
          <w:highlight w:val="none"/>
        </w:rPr>
        <w:t>（二）</w:t>
      </w:r>
      <w:bookmarkEnd w:id="99"/>
      <w:bookmarkEnd w:id="100"/>
      <w:bookmarkStart w:id="101" w:name="人员录取"/>
      <w:r>
        <w:rPr>
          <w:rFonts w:hint="eastAsia" w:ascii="楷体" w:hAnsi="楷体" w:eastAsia="楷体"/>
          <w:b/>
          <w:sz w:val="32"/>
          <w:szCs w:val="32"/>
          <w:highlight w:val="none"/>
          <w:lang w:eastAsia="zh-CN"/>
        </w:rPr>
        <w:t>人员录取</w:t>
      </w:r>
      <w:bookmarkEnd w:id="101"/>
    </w:p>
    <w:p>
      <w:pPr>
        <w:ind w:firstLine="640" w:firstLineChars="200"/>
        <w:rPr>
          <w:rFonts w:hint="eastAsia" w:ascii="仿宋_GB2312" w:eastAsia="仿宋_GB2312"/>
          <w:sz w:val="32"/>
          <w:szCs w:val="32"/>
          <w:highlight w:val="none"/>
          <w:lang w:eastAsia="zh-CN"/>
        </w:rPr>
      </w:pPr>
      <w:bookmarkStart w:id="102" w:name="_Toc18947"/>
      <w:bookmarkStart w:id="103" w:name="_Toc1291"/>
      <w:r>
        <w:rPr>
          <w:rFonts w:hint="eastAsia" w:ascii="仿宋_GB2312" w:eastAsia="仿宋_GB2312"/>
          <w:sz w:val="32"/>
          <w:szCs w:val="32"/>
          <w:highlight w:val="none"/>
        </w:rPr>
        <w:t>1.</w:t>
      </w:r>
      <w:r>
        <w:rPr>
          <w:rFonts w:hint="eastAsia" w:ascii="仿宋_GB2312" w:eastAsia="仿宋_GB2312"/>
          <w:sz w:val="32"/>
          <w:szCs w:val="32"/>
          <w:highlight w:val="none"/>
          <w:lang w:eastAsia="zh-CN"/>
        </w:rPr>
        <w:t>拟录取人员办理就业手续后，用人单位应依据厦门市有关规定与拟录取人员签订劳动合同。拟录取人员的人事关系、工资、社保等待遇，依据厦门市有关规定认定。</w:t>
      </w:r>
    </w:p>
    <w:p>
      <w:pPr>
        <w:ind w:firstLine="640" w:firstLineChars="200"/>
        <w:rPr>
          <w:rFonts w:ascii="仿宋_GB2312" w:hAnsi="仿宋_GB2312" w:eastAsia="仿宋_GB2312"/>
          <w:sz w:val="32"/>
          <w:szCs w:val="32"/>
          <w:highlight w:val="none"/>
        </w:rPr>
      </w:pPr>
      <w:r>
        <w:rPr>
          <w:rFonts w:hint="eastAsia" w:ascii="仿宋_GB2312" w:eastAsia="仿宋_GB2312"/>
          <w:sz w:val="32"/>
          <w:szCs w:val="32"/>
          <w:highlight w:val="none"/>
        </w:rPr>
        <w:t>2.根据《关于应对新冠肺炎疫情影响实施部分职业资格“先上岗、再考证”阶段性措施的通知》精神，对未持有《护士资格证书》的应届高校毕业生成为要求“持有《护士资格证书》”岗位的</w:t>
      </w:r>
      <w:r>
        <w:rPr>
          <w:rFonts w:hint="eastAsia" w:ascii="仿宋_GB2312" w:eastAsia="仿宋_GB2312"/>
          <w:sz w:val="32"/>
          <w:szCs w:val="32"/>
          <w:highlight w:val="none"/>
          <w:lang w:eastAsia="zh-CN"/>
        </w:rPr>
        <w:t>录取</w:t>
      </w:r>
      <w:r>
        <w:rPr>
          <w:rFonts w:hint="eastAsia" w:ascii="仿宋_GB2312" w:eastAsia="仿宋_GB2312"/>
          <w:sz w:val="32"/>
          <w:szCs w:val="32"/>
          <w:highlight w:val="none"/>
        </w:rPr>
        <w:t>人选的，</w:t>
      </w:r>
      <w:r>
        <w:rPr>
          <w:rFonts w:hint="eastAsia" w:ascii="仿宋_GB2312" w:eastAsia="仿宋_GB2312"/>
          <w:sz w:val="32"/>
          <w:szCs w:val="32"/>
          <w:highlight w:val="none"/>
          <w:lang w:eastAsia="zh-CN"/>
        </w:rPr>
        <w:t>用人单位</w:t>
      </w:r>
      <w:r>
        <w:rPr>
          <w:rFonts w:hint="eastAsia" w:ascii="仿宋_GB2312" w:eastAsia="仿宋_GB2312"/>
          <w:sz w:val="32"/>
          <w:szCs w:val="32"/>
          <w:highlight w:val="none"/>
        </w:rPr>
        <w:t>与</w:t>
      </w:r>
      <w:r>
        <w:rPr>
          <w:rFonts w:hint="eastAsia" w:ascii="仿宋_GB2312" w:eastAsia="仿宋_GB2312"/>
          <w:sz w:val="32"/>
          <w:szCs w:val="32"/>
          <w:highlight w:val="none"/>
          <w:lang w:eastAsia="zh-CN"/>
        </w:rPr>
        <w:t>录取</w:t>
      </w:r>
      <w:r>
        <w:rPr>
          <w:rFonts w:hint="eastAsia" w:ascii="仿宋_GB2312" w:eastAsia="仿宋_GB2312"/>
          <w:sz w:val="32"/>
          <w:szCs w:val="32"/>
          <w:highlight w:val="none"/>
        </w:rPr>
        <w:t>人选签订</w:t>
      </w:r>
      <w:r>
        <w:rPr>
          <w:rFonts w:hint="eastAsia" w:ascii="仿宋_GB2312" w:eastAsia="仿宋_GB2312"/>
          <w:sz w:val="32"/>
          <w:szCs w:val="32"/>
          <w:highlight w:val="none"/>
          <w:lang w:eastAsia="zh-CN"/>
        </w:rPr>
        <w:t>劳动</w:t>
      </w:r>
      <w:r>
        <w:rPr>
          <w:rFonts w:hint="eastAsia" w:ascii="仿宋_GB2312" w:eastAsia="仿宋_GB2312"/>
          <w:sz w:val="32"/>
          <w:szCs w:val="32"/>
          <w:highlight w:val="none"/>
        </w:rPr>
        <w:t>合同时，应当按规定约定试用期，先上岗的应届高校毕业生在试用期内未取得护士职业资格的，依法解除</w:t>
      </w:r>
      <w:r>
        <w:rPr>
          <w:rFonts w:hint="eastAsia" w:ascii="仿宋_GB2312" w:eastAsia="仿宋_GB2312"/>
          <w:sz w:val="32"/>
          <w:szCs w:val="32"/>
          <w:highlight w:val="none"/>
          <w:lang w:eastAsia="zh-CN"/>
        </w:rPr>
        <w:t>劳动</w:t>
      </w:r>
      <w:r>
        <w:rPr>
          <w:rFonts w:hint="eastAsia" w:ascii="仿宋_GB2312" w:eastAsia="仿宋_GB2312"/>
          <w:sz w:val="32"/>
          <w:szCs w:val="32"/>
          <w:highlight w:val="none"/>
        </w:rPr>
        <w:t>合同。</w:t>
      </w:r>
    </w:p>
    <w:p>
      <w:pPr>
        <w:ind w:firstLine="640" w:firstLineChars="200"/>
        <w:outlineLvl w:val="0"/>
        <w:rPr>
          <w:rFonts w:ascii="黑体" w:hAnsi="黑体" w:eastAsia="黑体"/>
          <w:sz w:val="32"/>
          <w:szCs w:val="32"/>
          <w:highlight w:val="none"/>
        </w:rPr>
      </w:pPr>
      <w:r>
        <w:rPr>
          <w:rFonts w:hint="eastAsia" w:ascii="黑体" w:hAnsi="黑体" w:eastAsia="黑体"/>
          <w:sz w:val="32"/>
          <w:szCs w:val="32"/>
          <w:highlight w:val="none"/>
        </w:rPr>
        <w:t>十</w:t>
      </w:r>
      <w:r>
        <w:rPr>
          <w:rFonts w:hint="eastAsia" w:ascii="黑体" w:hAnsi="黑体" w:eastAsia="黑体"/>
          <w:sz w:val="32"/>
          <w:szCs w:val="32"/>
          <w:highlight w:val="none"/>
          <w:lang w:eastAsia="zh-CN"/>
        </w:rPr>
        <w:t>三</w:t>
      </w:r>
      <w:r>
        <w:rPr>
          <w:rFonts w:hint="eastAsia" w:ascii="黑体" w:hAnsi="黑体" w:eastAsia="黑体"/>
          <w:sz w:val="32"/>
          <w:szCs w:val="32"/>
          <w:highlight w:val="none"/>
        </w:rPr>
        <w:t>、</w:t>
      </w:r>
      <w:bookmarkStart w:id="104" w:name="其他事项"/>
      <w:r>
        <w:rPr>
          <w:rFonts w:hint="eastAsia" w:ascii="黑体" w:hAnsi="黑体" w:eastAsia="黑体"/>
          <w:sz w:val="32"/>
          <w:szCs w:val="32"/>
          <w:highlight w:val="none"/>
        </w:rPr>
        <w:t>其他事项</w:t>
      </w:r>
      <w:bookmarkEnd w:id="102"/>
      <w:bookmarkEnd w:id="103"/>
      <w:bookmarkEnd w:id="104"/>
    </w:p>
    <w:p>
      <w:pPr>
        <w:ind w:firstLine="643" w:firstLineChars="200"/>
        <w:outlineLvl w:val="1"/>
        <w:rPr>
          <w:rFonts w:ascii="楷体" w:hAnsi="楷体" w:eastAsia="楷体"/>
          <w:b/>
          <w:sz w:val="32"/>
          <w:szCs w:val="32"/>
          <w:highlight w:val="none"/>
        </w:rPr>
      </w:pPr>
      <w:bookmarkStart w:id="105" w:name="_Toc25386"/>
      <w:bookmarkStart w:id="106" w:name="_Toc28131"/>
      <w:r>
        <w:rPr>
          <w:rFonts w:hint="eastAsia" w:ascii="楷体" w:hAnsi="楷体" w:eastAsia="楷体"/>
          <w:b/>
          <w:sz w:val="32"/>
          <w:szCs w:val="32"/>
          <w:highlight w:val="none"/>
        </w:rPr>
        <w:t>（一）中共党员</w:t>
      </w:r>
      <w:bookmarkEnd w:id="105"/>
      <w:bookmarkEnd w:id="106"/>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岗位条件要求为“中共党员”的，中共预备党员也可报考。</w:t>
      </w:r>
    </w:p>
    <w:p>
      <w:pPr>
        <w:ind w:firstLine="643" w:firstLineChars="200"/>
        <w:outlineLvl w:val="1"/>
        <w:rPr>
          <w:rFonts w:ascii="楷体" w:hAnsi="楷体" w:eastAsia="楷体"/>
          <w:b/>
          <w:sz w:val="32"/>
          <w:szCs w:val="32"/>
          <w:highlight w:val="none"/>
        </w:rPr>
      </w:pPr>
      <w:bookmarkStart w:id="107" w:name="_Toc5977"/>
      <w:bookmarkStart w:id="108" w:name="_Toc5176"/>
      <w:r>
        <w:rPr>
          <w:rFonts w:hint="eastAsia" w:ascii="楷体" w:hAnsi="楷体" w:eastAsia="楷体"/>
          <w:b/>
          <w:sz w:val="32"/>
          <w:szCs w:val="32"/>
          <w:highlight w:val="none"/>
        </w:rPr>
        <w:t>（二）职称（专业技术职务任职资格）</w:t>
      </w:r>
      <w:bookmarkEnd w:id="107"/>
      <w:bookmarkEnd w:id="108"/>
    </w:p>
    <w:p>
      <w:pPr>
        <w:ind w:firstLine="640" w:firstLineChars="200"/>
        <w:rPr>
          <w:rFonts w:ascii="仿宋_GB2312" w:eastAsia="仿宋_GB2312"/>
          <w:sz w:val="32"/>
          <w:szCs w:val="32"/>
          <w:highlight w:val="none"/>
        </w:rPr>
      </w:pPr>
      <w:bookmarkStart w:id="109" w:name="_Toc22170"/>
      <w:bookmarkStart w:id="110" w:name="_Toc19212"/>
      <w:r>
        <w:rPr>
          <w:rFonts w:hint="eastAsia" w:ascii="仿宋_GB2312" w:eastAsia="仿宋_GB2312"/>
          <w:sz w:val="32"/>
          <w:szCs w:val="32"/>
          <w:highlight w:val="none"/>
        </w:rPr>
        <w:t>岗位条件要求的专业技术职务任职资格是指经社会化考试（评审）等方式取得的专业技术职务任职资格，不含通过非公有制企业职称评审取得的专业技术职务任职资格。专业技术职务任职资格的有效性由厦门市职改办最终认定。</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以非普通教育学历报考的考生，“医”类岗位须取得与岗位相符的执业助理医师及以上医师资格，“药、护、技”三类岗位须取得与岗位相符的卫生专业技术初级及以上职务任职资格。</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报考者已于报名截止日</w:t>
      </w:r>
      <w:r>
        <w:rPr>
          <w:rFonts w:ascii="仿宋_GB2312" w:eastAsia="仿宋_GB2312"/>
          <w:sz w:val="32"/>
          <w:szCs w:val="32"/>
          <w:highlight w:val="none"/>
        </w:rPr>
        <w:t>7</w:t>
      </w:r>
      <w:r>
        <w:rPr>
          <w:rFonts w:hint="eastAsia" w:ascii="仿宋_GB2312" w:eastAsia="仿宋_GB2312"/>
          <w:sz w:val="32"/>
          <w:szCs w:val="32"/>
          <w:highlight w:val="none"/>
        </w:rPr>
        <w:t>月</w:t>
      </w:r>
      <w:r>
        <w:rPr>
          <w:rFonts w:ascii="仿宋_GB2312" w:eastAsia="仿宋_GB2312"/>
          <w:sz w:val="32"/>
          <w:szCs w:val="32"/>
          <w:highlight w:val="none"/>
        </w:rPr>
        <w:t>14</w:t>
      </w:r>
      <w:r>
        <w:rPr>
          <w:rFonts w:hint="eastAsia" w:ascii="仿宋_GB2312" w:eastAsia="仿宋_GB2312"/>
          <w:sz w:val="32"/>
          <w:szCs w:val="32"/>
          <w:highlight w:val="none"/>
        </w:rPr>
        <w:t>日前通过岗位条件要求（含上述以非普通教育学历报考的考生须取得的资格要求）的相应资格证书考试（或评审等）但未取得证书的，须在资格复核时，提供有效的成绩单及是否通过考试的结论。</w:t>
      </w:r>
      <w:r>
        <w:rPr>
          <w:rFonts w:ascii="仿宋_GB2312" w:hAnsi="??_GB2312" w:eastAsia="仿宋_GB2312"/>
          <w:sz w:val="32"/>
          <w:szCs w:val="32"/>
          <w:highlight w:val="none"/>
        </w:rPr>
        <w:t>2020</w:t>
      </w:r>
      <w:r>
        <w:rPr>
          <w:rFonts w:hint="eastAsia" w:ascii="仿宋_GB2312" w:hAnsi="宋体" w:eastAsia="仿宋_GB2312" w:cs="宋体"/>
          <w:sz w:val="32"/>
          <w:szCs w:val="32"/>
          <w:highlight w:val="none"/>
        </w:rPr>
        <w:t>年当年毕业的医学专业</w:t>
      </w:r>
      <w:r>
        <w:rPr>
          <w:rFonts w:hint="eastAsia" w:ascii="仿宋_GB2312" w:hAnsi="??_GB2312" w:eastAsia="仿宋_GB2312"/>
          <w:sz w:val="32"/>
          <w:szCs w:val="32"/>
          <w:highlight w:val="none"/>
        </w:rPr>
        <w:t>“</w:t>
      </w:r>
      <w:r>
        <w:rPr>
          <w:rFonts w:hint="eastAsia" w:ascii="仿宋_GB2312" w:hAnsi="宋体" w:eastAsia="仿宋_GB2312" w:cs="宋体"/>
          <w:sz w:val="32"/>
          <w:szCs w:val="32"/>
          <w:highlight w:val="none"/>
        </w:rPr>
        <w:t>四证合一</w:t>
      </w:r>
      <w:r>
        <w:rPr>
          <w:rFonts w:hint="eastAsia" w:ascii="仿宋_GB2312" w:hAnsi="??_GB2312" w:eastAsia="仿宋_GB2312"/>
          <w:sz w:val="32"/>
          <w:szCs w:val="32"/>
          <w:highlight w:val="none"/>
        </w:rPr>
        <w:t>”</w:t>
      </w:r>
      <w:r>
        <w:rPr>
          <w:rFonts w:hint="eastAsia" w:ascii="仿宋_GB2312" w:hAnsi="宋体" w:eastAsia="仿宋_GB2312" w:cs="宋体"/>
          <w:sz w:val="32"/>
          <w:szCs w:val="32"/>
          <w:highlight w:val="none"/>
        </w:rPr>
        <w:t>应届研究生，在符合报考岗位其他资格条件的前提下，其医师资格证书可于</w:t>
      </w:r>
      <w:r>
        <w:rPr>
          <w:rFonts w:ascii="仿宋_GB2312" w:hAnsi="??_GB2312" w:eastAsia="仿宋_GB2312"/>
          <w:sz w:val="32"/>
          <w:szCs w:val="32"/>
          <w:highlight w:val="none"/>
        </w:rPr>
        <w:t>2020</w:t>
      </w:r>
      <w:r>
        <w:rPr>
          <w:rFonts w:hint="eastAsia" w:ascii="仿宋_GB2312" w:hAnsi="宋体" w:eastAsia="仿宋_GB2312" w:cs="宋体"/>
          <w:sz w:val="32"/>
          <w:szCs w:val="32"/>
          <w:highlight w:val="none"/>
        </w:rPr>
        <w:t>年</w:t>
      </w:r>
      <w:r>
        <w:rPr>
          <w:rFonts w:ascii="仿宋_GB2312" w:hAnsi="??_GB2312" w:eastAsia="仿宋_GB2312"/>
          <w:sz w:val="32"/>
          <w:szCs w:val="32"/>
          <w:highlight w:val="none"/>
        </w:rPr>
        <w:t>12</w:t>
      </w:r>
      <w:r>
        <w:rPr>
          <w:rFonts w:hint="eastAsia" w:ascii="仿宋_GB2312" w:hAnsi="宋体" w:eastAsia="仿宋_GB2312" w:cs="宋体"/>
          <w:sz w:val="32"/>
          <w:szCs w:val="32"/>
          <w:highlight w:val="none"/>
        </w:rPr>
        <w:t>月</w:t>
      </w:r>
      <w:r>
        <w:rPr>
          <w:rFonts w:ascii="仿宋_GB2312" w:hAnsi="??_GB2312" w:eastAsia="仿宋_GB2312"/>
          <w:sz w:val="32"/>
          <w:szCs w:val="32"/>
          <w:highlight w:val="none"/>
        </w:rPr>
        <w:t>31</w:t>
      </w:r>
      <w:r>
        <w:rPr>
          <w:rFonts w:hint="eastAsia" w:ascii="仿宋_GB2312" w:hAnsi="宋体" w:eastAsia="仿宋_GB2312" w:cs="宋体"/>
          <w:sz w:val="32"/>
          <w:szCs w:val="32"/>
          <w:highlight w:val="none"/>
        </w:rPr>
        <w:t>日前随符合岗位报考条件的相应学历（位）证书一并提供。</w:t>
      </w:r>
    </w:p>
    <w:p>
      <w:pPr>
        <w:ind w:firstLine="643" w:firstLineChars="200"/>
        <w:outlineLvl w:val="1"/>
        <w:rPr>
          <w:rFonts w:ascii="楷体" w:hAnsi="楷体" w:eastAsia="楷体"/>
          <w:b/>
          <w:sz w:val="32"/>
          <w:szCs w:val="32"/>
          <w:highlight w:val="none"/>
        </w:rPr>
      </w:pPr>
      <w:r>
        <w:rPr>
          <w:rFonts w:hint="eastAsia" w:ascii="楷体" w:hAnsi="楷体" w:eastAsia="楷体"/>
          <w:b/>
          <w:sz w:val="32"/>
          <w:szCs w:val="32"/>
          <w:highlight w:val="none"/>
        </w:rPr>
        <w:t>（三）</w:t>
      </w:r>
      <w:bookmarkStart w:id="111" w:name="规范化培训"/>
      <w:r>
        <w:rPr>
          <w:rFonts w:hint="eastAsia" w:ascii="楷体" w:hAnsi="楷体" w:eastAsia="楷体"/>
          <w:b/>
          <w:sz w:val="32"/>
          <w:szCs w:val="32"/>
          <w:highlight w:val="none"/>
        </w:rPr>
        <w:t>规范化培训</w:t>
      </w:r>
      <w:bookmarkEnd w:id="109"/>
      <w:bookmarkEnd w:id="110"/>
      <w:bookmarkEnd w:id="111"/>
    </w:p>
    <w:p>
      <w:pPr>
        <w:ind w:firstLine="640" w:firstLineChars="200"/>
        <w:rPr>
          <w:rFonts w:ascii="仿宋_GB2312" w:hAnsi="??_GB2312" w:eastAsia="仿宋_GB2312"/>
          <w:sz w:val="32"/>
          <w:szCs w:val="32"/>
          <w:highlight w:val="none"/>
        </w:rPr>
      </w:pPr>
      <w:bookmarkStart w:id="112" w:name="_Toc18949"/>
      <w:bookmarkStart w:id="113" w:name="_Toc28444"/>
      <w:r>
        <w:rPr>
          <w:rFonts w:hint="eastAsia" w:ascii="仿宋_GB2312" w:hAnsi="宋体" w:eastAsia="仿宋_GB2312" w:cs="宋体"/>
          <w:sz w:val="32"/>
          <w:szCs w:val="32"/>
          <w:highlight w:val="none"/>
        </w:rPr>
        <w:t>岗位资格条件要求完成住院医师规范化培训的，是指按照《住院医师规范化培训内容和标准（试行）》完成住院医师规范化培训内容并取得合格证书。</w:t>
      </w:r>
    </w:p>
    <w:p>
      <w:pPr>
        <w:ind w:firstLine="640" w:firstLineChars="200"/>
        <w:rPr>
          <w:rFonts w:ascii="仿宋_GB2312" w:hAnsi="??_GB2312" w:eastAsia="仿宋_GB2312"/>
          <w:sz w:val="32"/>
          <w:szCs w:val="32"/>
          <w:highlight w:val="none"/>
        </w:rPr>
      </w:pPr>
      <w:r>
        <w:rPr>
          <w:rFonts w:hint="eastAsia" w:ascii="仿宋_GB2312" w:hAnsi="宋体" w:eastAsia="仿宋_GB2312" w:cs="宋体"/>
          <w:sz w:val="32"/>
          <w:szCs w:val="32"/>
          <w:highlight w:val="none"/>
        </w:rPr>
        <w:t>岗位资格条件要求完成全科医师规范化培训的，是指按照《卫生部专科医师培训暂行规定》、《卫生部专科医师培训标准（试行）》完成全科医师规范化培训内容并取得合格证书，或取得经过省级卫生行政部门认可的全科医学培训合格证书、社区卫生服务人员岗位培训合格证书或全科医生转岗培训合格证书等可用于注册执业范围为全科医学专业的《医师执业证书》的全科医师培训合格证明。</w:t>
      </w:r>
    </w:p>
    <w:p>
      <w:pPr>
        <w:ind w:firstLine="640" w:firstLineChars="200"/>
        <w:rPr>
          <w:rFonts w:ascii="仿宋_GB2312" w:eastAsia="仿宋_GB2312"/>
          <w:highlight w:val="none"/>
        </w:rPr>
      </w:pPr>
      <w:r>
        <w:rPr>
          <w:rFonts w:hint="eastAsia" w:ascii="仿宋_GB2312" w:hAnsi="宋体" w:eastAsia="仿宋_GB2312" w:cs="宋体"/>
          <w:sz w:val="32"/>
          <w:szCs w:val="32"/>
          <w:highlight w:val="none"/>
        </w:rPr>
        <w:t>报考者应于资格复核时提供岗位资格条件要求的规范化培训合格证书或证书主管部门出具的成绩单及是否通过考试的结论书面证明。</w:t>
      </w:r>
      <w:r>
        <w:rPr>
          <w:rFonts w:ascii="仿宋_GB2312" w:hAnsi="??_GB2312" w:eastAsia="仿宋_GB2312"/>
          <w:sz w:val="32"/>
          <w:szCs w:val="32"/>
          <w:highlight w:val="none"/>
        </w:rPr>
        <w:t>2020</w:t>
      </w:r>
      <w:r>
        <w:rPr>
          <w:rFonts w:hint="eastAsia" w:ascii="仿宋_GB2312" w:hAnsi="宋体" w:eastAsia="仿宋_GB2312" w:cs="宋体"/>
          <w:sz w:val="32"/>
          <w:szCs w:val="32"/>
          <w:highlight w:val="none"/>
        </w:rPr>
        <w:t>年当年毕业的医学专业</w:t>
      </w:r>
      <w:r>
        <w:rPr>
          <w:rFonts w:hint="eastAsia" w:ascii="仿宋_GB2312" w:hAnsi="??_GB2312" w:eastAsia="仿宋_GB2312"/>
          <w:sz w:val="32"/>
          <w:szCs w:val="32"/>
          <w:highlight w:val="none"/>
        </w:rPr>
        <w:t>“</w:t>
      </w:r>
      <w:r>
        <w:rPr>
          <w:rFonts w:hint="eastAsia" w:ascii="仿宋_GB2312" w:hAnsi="宋体" w:eastAsia="仿宋_GB2312" w:cs="宋体"/>
          <w:sz w:val="32"/>
          <w:szCs w:val="32"/>
          <w:highlight w:val="none"/>
        </w:rPr>
        <w:t>四证合一</w:t>
      </w:r>
      <w:r>
        <w:rPr>
          <w:rFonts w:hint="eastAsia" w:ascii="仿宋_GB2312" w:hAnsi="??_GB2312" w:eastAsia="仿宋_GB2312"/>
          <w:sz w:val="32"/>
          <w:szCs w:val="32"/>
          <w:highlight w:val="none"/>
        </w:rPr>
        <w:t>”</w:t>
      </w:r>
      <w:r>
        <w:rPr>
          <w:rFonts w:hint="eastAsia" w:ascii="仿宋_GB2312" w:hAnsi="宋体" w:eastAsia="仿宋_GB2312" w:cs="宋体"/>
          <w:sz w:val="32"/>
          <w:szCs w:val="32"/>
          <w:highlight w:val="none"/>
        </w:rPr>
        <w:t>应届研究生，在符合报考岗位其他资格条件的前提下，其住院医师规范化培训合格证书可于</w:t>
      </w:r>
      <w:r>
        <w:rPr>
          <w:rFonts w:ascii="仿宋_GB2312" w:hAnsi="??_GB2312" w:eastAsia="仿宋_GB2312"/>
          <w:sz w:val="32"/>
          <w:szCs w:val="32"/>
          <w:highlight w:val="none"/>
        </w:rPr>
        <w:t>2020</w:t>
      </w:r>
      <w:r>
        <w:rPr>
          <w:rFonts w:hint="eastAsia" w:ascii="仿宋_GB2312" w:hAnsi="宋体" w:eastAsia="仿宋_GB2312" w:cs="宋体"/>
          <w:sz w:val="32"/>
          <w:szCs w:val="32"/>
          <w:highlight w:val="none"/>
        </w:rPr>
        <w:t>年</w:t>
      </w:r>
      <w:r>
        <w:rPr>
          <w:rFonts w:ascii="仿宋_GB2312" w:hAnsi="??_GB2312" w:eastAsia="仿宋_GB2312"/>
          <w:sz w:val="32"/>
          <w:szCs w:val="32"/>
          <w:highlight w:val="none"/>
        </w:rPr>
        <w:t>12</w:t>
      </w:r>
      <w:r>
        <w:rPr>
          <w:rFonts w:hint="eastAsia" w:ascii="仿宋_GB2312" w:hAnsi="宋体" w:eastAsia="仿宋_GB2312" w:cs="宋体"/>
          <w:sz w:val="32"/>
          <w:szCs w:val="32"/>
          <w:highlight w:val="none"/>
        </w:rPr>
        <w:t>月</w:t>
      </w:r>
      <w:r>
        <w:rPr>
          <w:rFonts w:ascii="仿宋_GB2312" w:hAnsi="??_GB2312" w:eastAsia="仿宋_GB2312"/>
          <w:sz w:val="32"/>
          <w:szCs w:val="32"/>
          <w:highlight w:val="none"/>
        </w:rPr>
        <w:t>31</w:t>
      </w:r>
      <w:r>
        <w:rPr>
          <w:rFonts w:hint="eastAsia" w:ascii="仿宋_GB2312" w:hAnsi="宋体" w:eastAsia="仿宋_GB2312" w:cs="宋体"/>
          <w:sz w:val="32"/>
          <w:szCs w:val="32"/>
          <w:highlight w:val="none"/>
        </w:rPr>
        <w:t>日前随符合岗位报考条件的相应学历（位）证书一并提供。</w:t>
      </w:r>
    </w:p>
    <w:p>
      <w:pPr>
        <w:ind w:firstLine="643" w:firstLineChars="200"/>
        <w:outlineLvl w:val="1"/>
        <w:rPr>
          <w:rFonts w:ascii="楷体" w:hAnsi="楷体" w:eastAsia="楷体"/>
          <w:b/>
          <w:sz w:val="32"/>
          <w:szCs w:val="32"/>
          <w:highlight w:val="none"/>
        </w:rPr>
      </w:pPr>
      <w:r>
        <w:rPr>
          <w:rFonts w:hint="eastAsia" w:ascii="楷体" w:hAnsi="楷体" w:eastAsia="楷体"/>
          <w:b/>
          <w:sz w:val="32"/>
          <w:szCs w:val="32"/>
          <w:highlight w:val="none"/>
        </w:rPr>
        <w:t>（四）</w:t>
      </w:r>
      <w:bookmarkStart w:id="114" w:name="应届高校毕业生"/>
      <w:r>
        <w:rPr>
          <w:rFonts w:hint="eastAsia" w:ascii="楷体" w:hAnsi="楷体" w:eastAsia="楷体"/>
          <w:b/>
          <w:sz w:val="32"/>
          <w:szCs w:val="32"/>
          <w:highlight w:val="none"/>
        </w:rPr>
        <w:t>应届高校毕业生</w:t>
      </w:r>
      <w:bookmarkEnd w:id="112"/>
      <w:bookmarkEnd w:id="113"/>
      <w:bookmarkEnd w:id="114"/>
    </w:p>
    <w:p>
      <w:pPr>
        <w:ind w:firstLine="640" w:firstLineChars="200"/>
        <w:rPr>
          <w:rFonts w:ascii="仿宋_GB2312" w:eastAsia="仿宋_GB2312"/>
          <w:sz w:val="32"/>
          <w:szCs w:val="32"/>
          <w:highlight w:val="none"/>
        </w:rPr>
      </w:pPr>
      <w:bookmarkStart w:id="115" w:name="_Toc16363"/>
      <w:bookmarkStart w:id="116" w:name="_Toc9656"/>
      <w:r>
        <w:rPr>
          <w:rFonts w:hint="eastAsia" w:ascii="仿宋_GB2312" w:eastAsia="仿宋_GB2312"/>
          <w:sz w:val="32"/>
          <w:szCs w:val="32"/>
          <w:highlight w:val="none"/>
        </w:rPr>
        <w:t>根据《福建省大中专毕业生就业工作领导小组关于做好</w:t>
      </w:r>
      <w:r>
        <w:rPr>
          <w:rFonts w:ascii="仿宋_GB2312" w:eastAsia="仿宋_GB2312"/>
          <w:sz w:val="32"/>
          <w:szCs w:val="32"/>
          <w:highlight w:val="none"/>
        </w:rPr>
        <w:t>2020</w:t>
      </w:r>
      <w:r>
        <w:rPr>
          <w:rFonts w:hint="eastAsia" w:ascii="仿宋_GB2312" w:eastAsia="仿宋_GB2312"/>
          <w:sz w:val="32"/>
          <w:szCs w:val="32"/>
          <w:highlight w:val="none"/>
        </w:rPr>
        <w:t>年普通高等学校毕业生就业创业工作的通知》（闽毕就〔</w:t>
      </w:r>
      <w:r>
        <w:rPr>
          <w:rFonts w:ascii="仿宋_GB2312" w:eastAsia="仿宋_GB2312"/>
          <w:sz w:val="32"/>
          <w:szCs w:val="32"/>
          <w:highlight w:val="none"/>
        </w:rPr>
        <w:t>2020</w:t>
      </w:r>
      <w:r>
        <w:rPr>
          <w:rFonts w:hint="eastAsia" w:ascii="仿宋_GB2312" w:eastAsia="仿宋_GB2312"/>
          <w:sz w:val="32"/>
          <w:szCs w:val="32"/>
          <w:highlight w:val="none"/>
        </w:rPr>
        <w:t>〕</w:t>
      </w:r>
      <w:r>
        <w:rPr>
          <w:rFonts w:ascii="仿宋_GB2312" w:eastAsia="仿宋_GB2312"/>
          <w:sz w:val="32"/>
          <w:szCs w:val="32"/>
          <w:highlight w:val="none"/>
        </w:rPr>
        <w:t>1</w:t>
      </w:r>
      <w:r>
        <w:rPr>
          <w:rFonts w:hint="eastAsia" w:ascii="仿宋_GB2312" w:eastAsia="仿宋_GB2312"/>
          <w:sz w:val="32"/>
          <w:szCs w:val="32"/>
          <w:highlight w:val="none"/>
        </w:rPr>
        <w:t>号），本次</w:t>
      </w: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岗位资格条件中，如无特别说明，应届高校毕业生指</w:t>
      </w:r>
      <w:r>
        <w:rPr>
          <w:rFonts w:ascii="仿宋_GB2312" w:eastAsia="仿宋_GB2312"/>
          <w:sz w:val="32"/>
          <w:szCs w:val="32"/>
          <w:highlight w:val="none"/>
        </w:rPr>
        <w:t>2020</w:t>
      </w:r>
      <w:r>
        <w:rPr>
          <w:rFonts w:hint="eastAsia" w:ascii="仿宋_GB2312" w:eastAsia="仿宋_GB2312"/>
          <w:sz w:val="32"/>
          <w:szCs w:val="32"/>
          <w:highlight w:val="none"/>
        </w:rPr>
        <w:t>年毕业且在当年取得相应毕业证和学位证的毕业生，包括</w:t>
      </w:r>
      <w:r>
        <w:rPr>
          <w:rFonts w:ascii="仿宋_GB2312" w:eastAsia="仿宋_GB2312"/>
          <w:sz w:val="32"/>
          <w:szCs w:val="32"/>
          <w:highlight w:val="none"/>
        </w:rPr>
        <w:t>2018-2019</w:t>
      </w:r>
      <w:r>
        <w:rPr>
          <w:rFonts w:hint="eastAsia" w:ascii="仿宋_GB2312" w:eastAsia="仿宋_GB2312"/>
          <w:sz w:val="32"/>
          <w:szCs w:val="32"/>
          <w:highlight w:val="none"/>
        </w:rPr>
        <w:t>年高校毕业生离校时和在</w:t>
      </w:r>
      <w:r>
        <w:rPr>
          <w:rFonts w:ascii="仿宋_GB2312" w:eastAsia="仿宋_GB2312"/>
          <w:sz w:val="32"/>
          <w:szCs w:val="32"/>
          <w:highlight w:val="none"/>
        </w:rPr>
        <w:t>2</w:t>
      </w:r>
      <w:r>
        <w:rPr>
          <w:rFonts w:hint="eastAsia" w:ascii="仿宋_GB2312" w:eastAsia="仿宋_GB2312"/>
          <w:sz w:val="32"/>
          <w:szCs w:val="32"/>
          <w:highlight w:val="none"/>
        </w:rPr>
        <w:t>年内未落实工作单位，其户口、档案、组织关系仍保留在原毕业学校，或者保留在各级毕业生就业主管部门</w:t>
      </w:r>
      <w:r>
        <w:rPr>
          <w:rFonts w:ascii="仿宋_GB2312" w:eastAsia="仿宋_GB2312"/>
          <w:sz w:val="32"/>
          <w:szCs w:val="32"/>
          <w:highlight w:val="none"/>
        </w:rPr>
        <w:t>(</w:t>
      </w:r>
      <w:r>
        <w:rPr>
          <w:rFonts w:hint="eastAsia" w:ascii="仿宋_GB2312" w:eastAsia="仿宋_GB2312"/>
          <w:sz w:val="32"/>
          <w:szCs w:val="32"/>
          <w:highlight w:val="none"/>
        </w:rPr>
        <w:t>毕业生就业指导服务中心</w:t>
      </w:r>
      <w:r>
        <w:rPr>
          <w:rFonts w:ascii="仿宋_GB2312" w:eastAsia="仿宋_GB2312"/>
          <w:sz w:val="32"/>
          <w:szCs w:val="32"/>
          <w:highlight w:val="none"/>
        </w:rPr>
        <w:t>)</w:t>
      </w:r>
      <w:r>
        <w:rPr>
          <w:rFonts w:hint="eastAsia" w:ascii="仿宋_GB2312" w:eastAsia="仿宋_GB2312"/>
          <w:sz w:val="32"/>
          <w:szCs w:val="32"/>
          <w:highlight w:val="none"/>
        </w:rPr>
        <w:t>、各级人才交流服务机构和各级公共就业服务机构的毕业生。</w:t>
      </w:r>
    </w:p>
    <w:p>
      <w:pPr>
        <w:ind w:firstLine="643" w:firstLineChars="200"/>
        <w:outlineLvl w:val="1"/>
        <w:rPr>
          <w:rFonts w:ascii="楷体" w:hAnsi="楷体" w:eastAsia="楷体"/>
          <w:b/>
          <w:sz w:val="32"/>
          <w:szCs w:val="32"/>
          <w:highlight w:val="none"/>
        </w:rPr>
      </w:pPr>
      <w:r>
        <w:rPr>
          <w:rFonts w:hint="eastAsia" w:ascii="楷体" w:hAnsi="楷体" w:eastAsia="楷体"/>
          <w:b/>
          <w:sz w:val="32"/>
          <w:szCs w:val="32"/>
          <w:highlight w:val="none"/>
        </w:rPr>
        <w:t>（五）</w:t>
      </w:r>
      <w:bookmarkStart w:id="117" w:name="未就业毕业生"/>
      <w:r>
        <w:rPr>
          <w:rFonts w:hint="eastAsia" w:ascii="楷体" w:hAnsi="楷体" w:eastAsia="楷体"/>
          <w:b/>
          <w:sz w:val="32"/>
          <w:szCs w:val="32"/>
          <w:highlight w:val="none"/>
        </w:rPr>
        <w:t>未就业毕业生</w:t>
      </w:r>
      <w:bookmarkEnd w:id="115"/>
      <w:bookmarkEnd w:id="116"/>
    </w:p>
    <w:bookmarkEnd w:id="117"/>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未就业毕业生是指全日制普通教育学历大中专学生毕业后尚未到政府人事、教育部门办理就业审批及报到手续的人员。</w:t>
      </w:r>
    </w:p>
    <w:p>
      <w:pPr>
        <w:ind w:firstLine="643" w:firstLineChars="200"/>
        <w:outlineLvl w:val="1"/>
        <w:rPr>
          <w:rFonts w:ascii="楷体" w:hAnsi="楷体" w:eastAsia="楷体"/>
          <w:b/>
          <w:sz w:val="32"/>
          <w:szCs w:val="32"/>
          <w:highlight w:val="none"/>
        </w:rPr>
      </w:pPr>
      <w:bookmarkStart w:id="118" w:name="_Toc17835_WPSOffice_Level2"/>
      <w:bookmarkStart w:id="119" w:name="生源、户籍"/>
      <w:bookmarkStart w:id="120" w:name="_Toc11834"/>
      <w:bookmarkStart w:id="121" w:name="_Toc14505"/>
      <w:bookmarkStart w:id="122" w:name="_Toc3215"/>
      <w:bookmarkStart w:id="123" w:name="_Toc29924"/>
      <w:r>
        <w:rPr>
          <w:rFonts w:hint="eastAsia" w:ascii="楷体" w:hAnsi="楷体" w:eastAsia="楷体"/>
          <w:b/>
          <w:sz w:val="32"/>
          <w:szCs w:val="32"/>
          <w:highlight w:val="none"/>
        </w:rPr>
        <w:t>（六）</w:t>
      </w:r>
      <w:bookmarkEnd w:id="118"/>
      <w:r>
        <w:rPr>
          <w:rFonts w:hint="eastAsia" w:ascii="楷体" w:hAnsi="楷体" w:eastAsia="楷体"/>
          <w:b/>
          <w:sz w:val="32"/>
          <w:szCs w:val="32"/>
          <w:highlight w:val="none"/>
        </w:rPr>
        <w:t>生源、户籍</w:t>
      </w:r>
    </w:p>
    <w:bookmarkEnd w:id="119"/>
    <w:p>
      <w:pPr>
        <w:ind w:firstLine="640" w:firstLineChars="200"/>
        <w:outlineLvl w:val="1"/>
        <w:rPr>
          <w:rFonts w:ascii="仿宋_GB2312" w:eastAsia="仿宋_GB2312"/>
          <w:sz w:val="32"/>
          <w:szCs w:val="32"/>
          <w:highlight w:val="none"/>
        </w:rPr>
      </w:pPr>
      <w:r>
        <w:rPr>
          <w:rFonts w:hint="eastAsia" w:ascii="仿宋_GB2312" w:eastAsia="仿宋_GB2312"/>
          <w:sz w:val="32"/>
          <w:szCs w:val="32"/>
          <w:highlight w:val="none"/>
        </w:rPr>
        <w:t>厦门生源毕业生是指入学前（指考入取得第一个全日制普通教育学历的院校前，下同）户籍和学籍在厦门市的全日制普通教育毕业生。符合以下条件之一的普通教育全日制毕业生可参照厦门生源：</w:t>
      </w:r>
    </w:p>
    <w:p>
      <w:pPr>
        <w:ind w:firstLine="640" w:firstLineChars="200"/>
        <w:outlineLvl w:val="1"/>
        <w:rPr>
          <w:rFonts w:ascii="仿宋_GB2312" w:eastAsia="仿宋_GB2312"/>
          <w:sz w:val="32"/>
          <w:szCs w:val="32"/>
          <w:highlight w:val="none"/>
        </w:rPr>
      </w:pPr>
      <w:r>
        <w:rPr>
          <w:rFonts w:hint="eastAsia" w:ascii="仿宋_GB2312" w:eastAsia="仿宋_GB2312"/>
          <w:sz w:val="32"/>
          <w:szCs w:val="32"/>
          <w:highlight w:val="none"/>
        </w:rPr>
        <w:t>1.入学前户籍在厦门市但学籍不在厦门市的普通教育全日制毕业生；</w:t>
      </w:r>
    </w:p>
    <w:p>
      <w:pPr>
        <w:ind w:firstLine="640" w:firstLineChars="200"/>
        <w:outlineLvl w:val="1"/>
        <w:rPr>
          <w:rFonts w:ascii="仿宋_GB2312" w:eastAsia="仿宋_GB2312"/>
          <w:sz w:val="32"/>
          <w:szCs w:val="32"/>
          <w:highlight w:val="none"/>
        </w:rPr>
      </w:pPr>
      <w:r>
        <w:rPr>
          <w:rFonts w:hint="eastAsia" w:ascii="仿宋_GB2312" w:eastAsia="仿宋_GB2312"/>
          <w:sz w:val="32"/>
          <w:szCs w:val="32"/>
          <w:highlight w:val="none"/>
        </w:rPr>
        <w:t>2.入学前户籍和学籍虽不在厦门市，但在本次公开</w:t>
      </w: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报名截止日7月14日前父母或配偶有一方户籍在厦门市的普通教育全日制2020年应届毕业生；</w:t>
      </w:r>
    </w:p>
    <w:p>
      <w:pPr>
        <w:ind w:firstLine="640" w:firstLineChars="200"/>
        <w:outlineLvl w:val="1"/>
        <w:rPr>
          <w:rFonts w:ascii="仿宋_GB2312" w:eastAsia="仿宋_GB2312"/>
          <w:sz w:val="32"/>
          <w:szCs w:val="32"/>
          <w:highlight w:val="none"/>
        </w:rPr>
      </w:pPr>
      <w:r>
        <w:rPr>
          <w:rFonts w:hint="eastAsia" w:ascii="仿宋_GB2312" w:eastAsia="仿宋_GB2312"/>
          <w:sz w:val="32"/>
          <w:szCs w:val="32"/>
          <w:highlight w:val="none"/>
        </w:rPr>
        <w:t>3.根据厦府办</w:t>
      </w:r>
      <w:r>
        <w:rPr>
          <w:rFonts w:hint="eastAsia" w:ascii="Arial Unicode MS" w:hAnsi="Arial Unicode MS" w:eastAsia="Arial Unicode MS" w:cs="Arial Unicode MS"/>
          <w:sz w:val="32"/>
          <w:szCs w:val="32"/>
          <w:highlight w:val="none"/>
        </w:rPr>
        <w:t>〔</w:t>
      </w:r>
      <w:r>
        <w:rPr>
          <w:rFonts w:hint="eastAsia" w:ascii="仿宋_GB2312" w:eastAsia="仿宋_GB2312"/>
          <w:sz w:val="32"/>
          <w:szCs w:val="32"/>
          <w:highlight w:val="none"/>
        </w:rPr>
        <w:t>2011</w:t>
      </w:r>
      <w:r>
        <w:rPr>
          <w:rFonts w:hint="eastAsia" w:ascii="Arial Unicode MS" w:hAnsi="Arial Unicode MS" w:eastAsia="Arial Unicode MS" w:cs="Arial Unicode MS"/>
          <w:sz w:val="32"/>
          <w:szCs w:val="32"/>
          <w:highlight w:val="none"/>
        </w:rPr>
        <w:t>〕</w:t>
      </w:r>
      <w:r>
        <w:rPr>
          <w:rFonts w:hint="eastAsia" w:ascii="仿宋_GB2312" w:eastAsia="仿宋_GB2312"/>
          <w:sz w:val="32"/>
          <w:szCs w:val="32"/>
          <w:highlight w:val="none"/>
        </w:rPr>
        <w:t>229号文规定来我市就读普通高中且将户籍迁入我市的外来学生，普通高中毕业后从我市考入普通高等院校的全日制普通教育毕业生。</w:t>
      </w:r>
    </w:p>
    <w:p>
      <w:pPr>
        <w:ind w:firstLine="640" w:firstLineChars="200"/>
        <w:outlineLvl w:val="1"/>
        <w:rPr>
          <w:rFonts w:ascii="仿宋_GB2312" w:eastAsia="仿宋_GB2312"/>
          <w:sz w:val="32"/>
          <w:szCs w:val="32"/>
          <w:highlight w:val="none"/>
        </w:rPr>
      </w:pPr>
      <w:r>
        <w:rPr>
          <w:rFonts w:hint="eastAsia" w:ascii="仿宋_GB2312" w:eastAsia="仿宋_GB2312"/>
          <w:sz w:val="32"/>
          <w:szCs w:val="32"/>
          <w:highlight w:val="none"/>
        </w:rPr>
        <w:t>福建生源类推界定。</w:t>
      </w:r>
    </w:p>
    <w:p>
      <w:pPr>
        <w:ind w:firstLine="643" w:firstLineChars="200"/>
        <w:outlineLvl w:val="1"/>
        <w:rPr>
          <w:rFonts w:ascii="楷体" w:hAnsi="楷体" w:eastAsia="楷体"/>
          <w:b/>
          <w:sz w:val="32"/>
          <w:szCs w:val="32"/>
          <w:highlight w:val="none"/>
        </w:rPr>
      </w:pPr>
      <w:bookmarkStart w:id="124" w:name="目标位置1"/>
      <w:bookmarkEnd w:id="124"/>
      <w:r>
        <w:rPr>
          <w:rFonts w:hint="eastAsia" w:ascii="楷体" w:hAnsi="楷体" w:eastAsia="楷体"/>
          <w:b/>
          <w:sz w:val="32"/>
          <w:szCs w:val="32"/>
          <w:highlight w:val="none"/>
        </w:rPr>
        <w:t>（七）</w:t>
      </w:r>
      <w:bookmarkStart w:id="125" w:name="港澳台人员"/>
      <w:r>
        <w:rPr>
          <w:rFonts w:hint="eastAsia" w:ascii="楷体" w:hAnsi="楷体" w:eastAsia="楷体"/>
          <w:b/>
          <w:sz w:val="32"/>
          <w:szCs w:val="32"/>
          <w:highlight w:val="none"/>
        </w:rPr>
        <w:t>港澳台人员</w:t>
      </w:r>
      <w:bookmarkEnd w:id="120"/>
      <w:bookmarkEnd w:id="121"/>
      <w:bookmarkEnd w:id="125"/>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港澳台人员（不得持有外国籍）的</w:t>
      </w: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，按照国家、省和我市有关规定办理。</w:t>
      </w:r>
    </w:p>
    <w:p>
      <w:pPr>
        <w:ind w:firstLine="640" w:firstLineChars="200"/>
        <w:outlineLvl w:val="0"/>
        <w:rPr>
          <w:rFonts w:ascii="黑体" w:hAnsi="黑体" w:eastAsia="黑体"/>
          <w:sz w:val="32"/>
          <w:szCs w:val="32"/>
          <w:highlight w:val="none"/>
        </w:rPr>
      </w:pPr>
      <w:r>
        <w:rPr>
          <w:rFonts w:hint="eastAsia" w:ascii="黑体" w:hAnsi="黑体" w:eastAsia="黑体"/>
          <w:sz w:val="32"/>
          <w:szCs w:val="32"/>
          <w:highlight w:val="none"/>
        </w:rPr>
        <w:t>十</w:t>
      </w:r>
      <w:r>
        <w:rPr>
          <w:rFonts w:hint="eastAsia" w:ascii="黑体" w:hAnsi="黑体" w:eastAsia="黑体"/>
          <w:sz w:val="32"/>
          <w:szCs w:val="32"/>
          <w:highlight w:val="none"/>
          <w:lang w:eastAsia="zh-CN"/>
        </w:rPr>
        <w:t>四</w:t>
      </w:r>
      <w:r>
        <w:rPr>
          <w:rFonts w:hint="eastAsia" w:ascii="黑体" w:hAnsi="黑体" w:eastAsia="黑体"/>
          <w:sz w:val="32"/>
          <w:szCs w:val="32"/>
          <w:highlight w:val="none"/>
        </w:rPr>
        <w:t>、</w:t>
      </w:r>
      <w:bookmarkStart w:id="126" w:name="疫情防控要求"/>
      <w:r>
        <w:rPr>
          <w:rFonts w:hint="eastAsia" w:ascii="黑体" w:hAnsi="黑体" w:eastAsia="黑体"/>
          <w:sz w:val="32"/>
          <w:szCs w:val="32"/>
          <w:highlight w:val="none"/>
        </w:rPr>
        <w:t>疫情防控要求</w:t>
      </w:r>
      <w:bookmarkEnd w:id="122"/>
      <w:bookmarkEnd w:id="123"/>
      <w:bookmarkEnd w:id="126"/>
    </w:p>
    <w:p>
      <w:pPr>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本次</w:t>
      </w: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将严格按照厦门市应对新冠肺炎疫情工作指挥部部署，严密落实新冠肺炎疫情防控要求，考生务必遵照疫情防控要求，提前做好行程规划，以免错失考试资格。在参加本次</w:t>
      </w: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考试的现场环节时，考生应按要求佩戴口罩、出示八闽健康码（请提前下载安装闽政通APP）和接受体温检测，并保持适当距离不拥挤；体温检测超过37.3℃者，根据实际情况按有关防疫要求处理。不配合考试现场防疫要求者或未能按时参加考试相关环节者，视为自动放弃本次考试资格。</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截至本指南发布之日，厦门市新冠肺炎疫情防控措施对入厦人员要求如下：</w:t>
      </w:r>
    </w:p>
    <w:p>
      <w:pPr>
        <w:pStyle w:val="2"/>
        <w:ind w:firstLine="643" w:firstLineChars="200"/>
        <w:rPr>
          <w:rFonts w:ascii="楷体" w:hAnsi="楷体" w:eastAsia="楷体"/>
          <w:kern w:val="2"/>
          <w:sz w:val="32"/>
          <w:szCs w:val="32"/>
          <w:highlight w:val="none"/>
        </w:rPr>
      </w:pPr>
      <w:bookmarkStart w:id="127" w:name="_Toc4258"/>
      <w:bookmarkStart w:id="128" w:name="_Toc9401"/>
      <w:bookmarkStart w:id="129" w:name="_Toc3582"/>
      <w:bookmarkStart w:id="130" w:name="_Toc29939"/>
      <w:bookmarkStart w:id="131" w:name="_Toc32098"/>
      <w:bookmarkStart w:id="132" w:name="_Toc25201"/>
      <w:bookmarkStart w:id="133" w:name="_（一）境内考生防疫要求"/>
      <w:r>
        <w:rPr>
          <w:rFonts w:hint="eastAsia" w:ascii="楷体" w:hAnsi="楷体" w:eastAsia="楷体"/>
          <w:kern w:val="2"/>
          <w:sz w:val="32"/>
          <w:szCs w:val="32"/>
          <w:highlight w:val="none"/>
        </w:rPr>
        <w:t>（一）境内考生防疫要求</w:t>
      </w:r>
      <w:bookmarkEnd w:id="127"/>
      <w:bookmarkEnd w:id="128"/>
      <w:bookmarkEnd w:id="129"/>
      <w:bookmarkEnd w:id="130"/>
      <w:bookmarkEnd w:id="131"/>
      <w:bookmarkEnd w:id="132"/>
    </w:p>
    <w:bookmarkEnd w:id="133"/>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其中来自境内低风险等级地区的考生需持有八闽健康码“绿码”，在测温正常且做好个人防护的前提下可参加考试。</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具有境内中高风险等级地区旅居史的考生，入厦考试时需持有</w:t>
      </w:r>
      <w:r>
        <w:rPr>
          <w:rFonts w:ascii="仿宋_GB2312" w:eastAsia="仿宋_GB2312"/>
          <w:sz w:val="32"/>
          <w:szCs w:val="32"/>
          <w:highlight w:val="none"/>
        </w:rPr>
        <w:t xml:space="preserve"> 7 </w:t>
      </w:r>
      <w:r>
        <w:rPr>
          <w:rFonts w:hint="eastAsia" w:ascii="仿宋_GB2312" w:eastAsia="仿宋_GB2312"/>
          <w:sz w:val="32"/>
          <w:szCs w:val="32"/>
          <w:highlight w:val="none"/>
        </w:rPr>
        <w:t>日内核酸检测合格证明或能够出示包含核酸检测合格证明的八闽健康码“绿码”，在测温正常且做好个人防护的前提下可参加考试；如无法提供上述核酸检测合格证明的，应在入厦时立即接受核酸检测或接受</w:t>
      </w:r>
      <w:r>
        <w:rPr>
          <w:rFonts w:ascii="仿宋_GB2312" w:eastAsia="仿宋_GB2312"/>
          <w:sz w:val="32"/>
          <w:szCs w:val="32"/>
          <w:highlight w:val="none"/>
        </w:rPr>
        <w:t xml:space="preserve"> 14 </w:t>
      </w:r>
      <w:r>
        <w:rPr>
          <w:rFonts w:hint="eastAsia" w:ascii="仿宋_GB2312" w:eastAsia="仿宋_GB2312"/>
          <w:sz w:val="32"/>
          <w:szCs w:val="32"/>
          <w:highlight w:val="none"/>
        </w:rPr>
        <w:t>天隔离医学观察，核酸采样检验结果合格的方可参加考试。</w:t>
      </w:r>
      <w:bookmarkStart w:id="134" w:name="_Toc8198"/>
      <w:bookmarkStart w:id="135" w:name="_Toc28600"/>
      <w:bookmarkStart w:id="136" w:name="_Toc21848"/>
    </w:p>
    <w:p>
      <w:pPr>
        <w:pStyle w:val="2"/>
        <w:ind w:firstLine="643" w:firstLineChars="200"/>
        <w:rPr>
          <w:rFonts w:ascii="楷体" w:hAnsi="楷体" w:eastAsia="楷体"/>
          <w:kern w:val="2"/>
          <w:sz w:val="32"/>
          <w:szCs w:val="32"/>
          <w:highlight w:val="none"/>
        </w:rPr>
      </w:pPr>
      <w:bookmarkStart w:id="137" w:name="_Toc14426"/>
      <w:bookmarkStart w:id="138" w:name="_Toc14228"/>
      <w:bookmarkStart w:id="139" w:name="_Toc9651"/>
      <w:bookmarkStart w:id="140" w:name="（一）境内考生防疫要求"/>
      <w:bookmarkStart w:id="141" w:name="（二）境外考生防疫要求"/>
      <w:r>
        <w:rPr>
          <w:rFonts w:hint="eastAsia" w:ascii="楷体" w:hAnsi="楷体" w:eastAsia="楷体"/>
          <w:kern w:val="2"/>
          <w:sz w:val="32"/>
          <w:szCs w:val="32"/>
          <w:highlight w:val="none"/>
        </w:rPr>
        <w:t>（二）</w:t>
      </w:r>
      <w:bookmarkStart w:id="142" w:name="境外考生防疫要求"/>
      <w:r>
        <w:rPr>
          <w:rFonts w:hint="eastAsia" w:ascii="楷体" w:hAnsi="楷体" w:eastAsia="楷体"/>
          <w:kern w:val="2"/>
          <w:sz w:val="32"/>
          <w:szCs w:val="32"/>
          <w:highlight w:val="none"/>
        </w:rPr>
        <w:t>境外考生防疫要求</w:t>
      </w:r>
      <w:bookmarkEnd w:id="134"/>
      <w:bookmarkEnd w:id="135"/>
      <w:bookmarkEnd w:id="136"/>
      <w:bookmarkEnd w:id="137"/>
      <w:bookmarkEnd w:id="138"/>
      <w:bookmarkEnd w:id="139"/>
      <w:bookmarkEnd w:id="142"/>
    </w:p>
    <w:bookmarkEnd w:id="140"/>
    <w:bookmarkEnd w:id="141"/>
    <w:p>
      <w:pPr>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境外考生入厦时须实行14天集中医学观察（经评估符合条件的可申请7天集中医学观察+7天居家医学观察），医学观察期间按我市规定采样检测新冠病毒核酸和血清抗体，检测均合格后解除医学观察，方可参加考试。</w:t>
      </w:r>
    </w:p>
    <w:p>
      <w:pPr>
        <w:ind w:firstLine="640" w:firstLineChars="200"/>
        <w:rPr>
          <w:rFonts w:ascii="仿宋_GB2312" w:eastAsia="仿宋_GB2312"/>
          <w:sz w:val="32"/>
          <w:szCs w:val="32"/>
          <w:highlight w:val="none"/>
        </w:rPr>
      </w:pPr>
      <w:bookmarkStart w:id="143" w:name="_GoBack"/>
      <w:bookmarkEnd w:id="143"/>
      <w:r>
        <w:rPr>
          <w:rFonts w:hint="eastAsia" w:ascii="仿宋_GB2312" w:eastAsia="仿宋_GB2312"/>
          <w:sz w:val="32"/>
          <w:szCs w:val="32"/>
          <w:highlight w:val="none"/>
        </w:rPr>
        <w:t>疫情防控要求贯穿本次</w:t>
      </w:r>
      <w:r>
        <w:rPr>
          <w:rFonts w:hint="eastAsia" w:ascii="仿宋_GB2312" w:eastAsia="仿宋_GB2312"/>
          <w:sz w:val="32"/>
          <w:szCs w:val="32"/>
          <w:highlight w:val="none"/>
          <w:lang w:eastAsia="zh-CN"/>
        </w:rPr>
        <w:t>招考</w:t>
      </w:r>
      <w:r>
        <w:rPr>
          <w:rFonts w:hint="eastAsia" w:ascii="仿宋_GB2312" w:eastAsia="仿宋_GB2312"/>
          <w:sz w:val="32"/>
          <w:szCs w:val="32"/>
          <w:highlight w:val="none"/>
        </w:rPr>
        <w:t>全程，以厦门市应对新冠肺炎疫情工作指挥部最新工作部署为准，并将及时在招考系统中公告。瞒报、谎报、不履行相关承诺人员将承担法律责任。</w:t>
      </w: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21</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Ps5vjrgEAAEsD&#10;AAAOAAAAAAAAAAEAIAAAAB4BAABkcnMvZTJvRG9jLnhtbFBLBQYAAAAABgAGAFkBAAA+BQ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21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A16"/>
    <w:rsid w:val="0002071E"/>
    <w:rsid w:val="00027082"/>
    <w:rsid w:val="00033497"/>
    <w:rsid w:val="00042AC0"/>
    <w:rsid w:val="00063AD5"/>
    <w:rsid w:val="00065CC8"/>
    <w:rsid w:val="00071CAD"/>
    <w:rsid w:val="00093BC6"/>
    <w:rsid w:val="000955E7"/>
    <w:rsid w:val="000E4363"/>
    <w:rsid w:val="000E50DB"/>
    <w:rsid w:val="000E59F3"/>
    <w:rsid w:val="000F528C"/>
    <w:rsid w:val="001005D9"/>
    <w:rsid w:val="001272BE"/>
    <w:rsid w:val="00137BC5"/>
    <w:rsid w:val="0014786A"/>
    <w:rsid w:val="0016662B"/>
    <w:rsid w:val="00170E5A"/>
    <w:rsid w:val="001819C6"/>
    <w:rsid w:val="001A0706"/>
    <w:rsid w:val="001A70DD"/>
    <w:rsid w:val="001B21A8"/>
    <w:rsid w:val="001D0820"/>
    <w:rsid w:val="001F0ED6"/>
    <w:rsid w:val="001F475F"/>
    <w:rsid w:val="0021215B"/>
    <w:rsid w:val="00213A6B"/>
    <w:rsid w:val="00224E77"/>
    <w:rsid w:val="0027223D"/>
    <w:rsid w:val="00283FFF"/>
    <w:rsid w:val="002922E9"/>
    <w:rsid w:val="002B5890"/>
    <w:rsid w:val="002C4507"/>
    <w:rsid w:val="002D0BA2"/>
    <w:rsid w:val="002D5793"/>
    <w:rsid w:val="002E072C"/>
    <w:rsid w:val="0030383C"/>
    <w:rsid w:val="003067E5"/>
    <w:rsid w:val="00327AF8"/>
    <w:rsid w:val="00343557"/>
    <w:rsid w:val="0039564C"/>
    <w:rsid w:val="003E1F4E"/>
    <w:rsid w:val="003E3FEE"/>
    <w:rsid w:val="00413DE3"/>
    <w:rsid w:val="00414A3A"/>
    <w:rsid w:val="00427938"/>
    <w:rsid w:val="00434959"/>
    <w:rsid w:val="00436F26"/>
    <w:rsid w:val="004E0D05"/>
    <w:rsid w:val="004F7CB5"/>
    <w:rsid w:val="00523A3B"/>
    <w:rsid w:val="00537166"/>
    <w:rsid w:val="00550721"/>
    <w:rsid w:val="005627F0"/>
    <w:rsid w:val="005A6053"/>
    <w:rsid w:val="005C2D15"/>
    <w:rsid w:val="005E13F1"/>
    <w:rsid w:val="005F26ED"/>
    <w:rsid w:val="005F39A2"/>
    <w:rsid w:val="005F55D0"/>
    <w:rsid w:val="00602A83"/>
    <w:rsid w:val="00614E71"/>
    <w:rsid w:val="00622817"/>
    <w:rsid w:val="00637407"/>
    <w:rsid w:val="00642F47"/>
    <w:rsid w:val="00650CF0"/>
    <w:rsid w:val="006536A4"/>
    <w:rsid w:val="00654EF4"/>
    <w:rsid w:val="006709C9"/>
    <w:rsid w:val="00694C60"/>
    <w:rsid w:val="0069650D"/>
    <w:rsid w:val="006B167B"/>
    <w:rsid w:val="006D288A"/>
    <w:rsid w:val="006E606D"/>
    <w:rsid w:val="0074225C"/>
    <w:rsid w:val="00750347"/>
    <w:rsid w:val="00756AB6"/>
    <w:rsid w:val="00775CCD"/>
    <w:rsid w:val="007B321F"/>
    <w:rsid w:val="007E348E"/>
    <w:rsid w:val="007F4FCA"/>
    <w:rsid w:val="00806068"/>
    <w:rsid w:val="008639DB"/>
    <w:rsid w:val="008659FF"/>
    <w:rsid w:val="008674C4"/>
    <w:rsid w:val="0087540B"/>
    <w:rsid w:val="008B14FE"/>
    <w:rsid w:val="008B292B"/>
    <w:rsid w:val="008D045F"/>
    <w:rsid w:val="00903312"/>
    <w:rsid w:val="009A15F7"/>
    <w:rsid w:val="00A030A7"/>
    <w:rsid w:val="00A16F10"/>
    <w:rsid w:val="00A34A24"/>
    <w:rsid w:val="00A53F6A"/>
    <w:rsid w:val="00A75719"/>
    <w:rsid w:val="00A95078"/>
    <w:rsid w:val="00AA2BC0"/>
    <w:rsid w:val="00AA508C"/>
    <w:rsid w:val="00AD7E74"/>
    <w:rsid w:val="00B176C3"/>
    <w:rsid w:val="00B50654"/>
    <w:rsid w:val="00B74B4C"/>
    <w:rsid w:val="00BC413D"/>
    <w:rsid w:val="00C40A12"/>
    <w:rsid w:val="00C5287C"/>
    <w:rsid w:val="00C53061"/>
    <w:rsid w:val="00C54AE4"/>
    <w:rsid w:val="00C90C9C"/>
    <w:rsid w:val="00CA3A16"/>
    <w:rsid w:val="00CC6A71"/>
    <w:rsid w:val="00D02341"/>
    <w:rsid w:val="00D708EB"/>
    <w:rsid w:val="00D85A93"/>
    <w:rsid w:val="00D85B51"/>
    <w:rsid w:val="00D962CC"/>
    <w:rsid w:val="00DA675E"/>
    <w:rsid w:val="00DD3580"/>
    <w:rsid w:val="00DD67B2"/>
    <w:rsid w:val="00DE3751"/>
    <w:rsid w:val="00DF1454"/>
    <w:rsid w:val="00E02B07"/>
    <w:rsid w:val="00E27B98"/>
    <w:rsid w:val="00E33D99"/>
    <w:rsid w:val="00E4528F"/>
    <w:rsid w:val="00E501FF"/>
    <w:rsid w:val="00E96E59"/>
    <w:rsid w:val="00EA102B"/>
    <w:rsid w:val="00EB546B"/>
    <w:rsid w:val="00EE114C"/>
    <w:rsid w:val="00F00DFB"/>
    <w:rsid w:val="00F12569"/>
    <w:rsid w:val="00F226E9"/>
    <w:rsid w:val="00F25E9F"/>
    <w:rsid w:val="00FD5A91"/>
    <w:rsid w:val="00FF5BC8"/>
    <w:rsid w:val="0115504C"/>
    <w:rsid w:val="01191B8C"/>
    <w:rsid w:val="01836378"/>
    <w:rsid w:val="04B431B1"/>
    <w:rsid w:val="060D0DBE"/>
    <w:rsid w:val="068C3F7A"/>
    <w:rsid w:val="0787281A"/>
    <w:rsid w:val="07F25175"/>
    <w:rsid w:val="07FC4121"/>
    <w:rsid w:val="08374F49"/>
    <w:rsid w:val="08BB5613"/>
    <w:rsid w:val="09A824D9"/>
    <w:rsid w:val="0C42075F"/>
    <w:rsid w:val="0C9537CF"/>
    <w:rsid w:val="0D1E13B5"/>
    <w:rsid w:val="0E095788"/>
    <w:rsid w:val="0E354D84"/>
    <w:rsid w:val="0E3958FD"/>
    <w:rsid w:val="0EFC1000"/>
    <w:rsid w:val="0F312292"/>
    <w:rsid w:val="10F46F71"/>
    <w:rsid w:val="11C07819"/>
    <w:rsid w:val="11D50F5D"/>
    <w:rsid w:val="11ED160C"/>
    <w:rsid w:val="12136784"/>
    <w:rsid w:val="127C59E8"/>
    <w:rsid w:val="12EF3884"/>
    <w:rsid w:val="12F3204A"/>
    <w:rsid w:val="138F6B6E"/>
    <w:rsid w:val="14200FCC"/>
    <w:rsid w:val="145D79F4"/>
    <w:rsid w:val="15714F96"/>
    <w:rsid w:val="16070EB2"/>
    <w:rsid w:val="174671AA"/>
    <w:rsid w:val="18A6729F"/>
    <w:rsid w:val="18DC4FBF"/>
    <w:rsid w:val="18EE3E42"/>
    <w:rsid w:val="190B4960"/>
    <w:rsid w:val="19344E6F"/>
    <w:rsid w:val="19634075"/>
    <w:rsid w:val="197A1842"/>
    <w:rsid w:val="1A1B6762"/>
    <w:rsid w:val="1A6C0A8A"/>
    <w:rsid w:val="1C667A5A"/>
    <w:rsid w:val="1CD5056A"/>
    <w:rsid w:val="1D7C7EE4"/>
    <w:rsid w:val="1DCB2F0D"/>
    <w:rsid w:val="1FEF3FCB"/>
    <w:rsid w:val="20476E59"/>
    <w:rsid w:val="20D11DC7"/>
    <w:rsid w:val="2107136B"/>
    <w:rsid w:val="2117427F"/>
    <w:rsid w:val="21CD6AB5"/>
    <w:rsid w:val="22D24F9D"/>
    <w:rsid w:val="22D42F4A"/>
    <w:rsid w:val="241825D9"/>
    <w:rsid w:val="242714D3"/>
    <w:rsid w:val="243B0627"/>
    <w:rsid w:val="248C709C"/>
    <w:rsid w:val="25B80653"/>
    <w:rsid w:val="27E01CA7"/>
    <w:rsid w:val="28654F9C"/>
    <w:rsid w:val="288D1281"/>
    <w:rsid w:val="2AB93EDB"/>
    <w:rsid w:val="2D146264"/>
    <w:rsid w:val="2D3D3232"/>
    <w:rsid w:val="2D8B36AA"/>
    <w:rsid w:val="2DAB5BED"/>
    <w:rsid w:val="2E083A54"/>
    <w:rsid w:val="2F703D10"/>
    <w:rsid w:val="2F7423F2"/>
    <w:rsid w:val="300922E7"/>
    <w:rsid w:val="31CF084F"/>
    <w:rsid w:val="31DB53DA"/>
    <w:rsid w:val="32A23983"/>
    <w:rsid w:val="32B440F3"/>
    <w:rsid w:val="33FC19D3"/>
    <w:rsid w:val="34171B12"/>
    <w:rsid w:val="344D382F"/>
    <w:rsid w:val="34C66E3B"/>
    <w:rsid w:val="36161194"/>
    <w:rsid w:val="36433543"/>
    <w:rsid w:val="382E2732"/>
    <w:rsid w:val="385132DD"/>
    <w:rsid w:val="39085A96"/>
    <w:rsid w:val="3BA732E3"/>
    <w:rsid w:val="3BAD7563"/>
    <w:rsid w:val="3BCA39F3"/>
    <w:rsid w:val="3C1D1427"/>
    <w:rsid w:val="3CAA7142"/>
    <w:rsid w:val="3D432A16"/>
    <w:rsid w:val="3D5926B2"/>
    <w:rsid w:val="3E2B03B9"/>
    <w:rsid w:val="41246E3B"/>
    <w:rsid w:val="414043AE"/>
    <w:rsid w:val="41743666"/>
    <w:rsid w:val="42DA0579"/>
    <w:rsid w:val="43C83C13"/>
    <w:rsid w:val="44A8125B"/>
    <w:rsid w:val="44EA13EF"/>
    <w:rsid w:val="454F5C21"/>
    <w:rsid w:val="456806A3"/>
    <w:rsid w:val="46172F51"/>
    <w:rsid w:val="47240519"/>
    <w:rsid w:val="476048D6"/>
    <w:rsid w:val="486311F7"/>
    <w:rsid w:val="48733CA4"/>
    <w:rsid w:val="498864D6"/>
    <w:rsid w:val="4AA75BD8"/>
    <w:rsid w:val="4B501058"/>
    <w:rsid w:val="4CC76C9C"/>
    <w:rsid w:val="4CF77802"/>
    <w:rsid w:val="4D667BAF"/>
    <w:rsid w:val="4DB86B62"/>
    <w:rsid w:val="4E915B99"/>
    <w:rsid w:val="4EC918D2"/>
    <w:rsid w:val="4F0C444D"/>
    <w:rsid w:val="4FB63B18"/>
    <w:rsid w:val="514C528A"/>
    <w:rsid w:val="51A55E17"/>
    <w:rsid w:val="51C6350D"/>
    <w:rsid w:val="521B047E"/>
    <w:rsid w:val="52AF3FC8"/>
    <w:rsid w:val="53564D9D"/>
    <w:rsid w:val="54EC7875"/>
    <w:rsid w:val="54FD31CF"/>
    <w:rsid w:val="561B1092"/>
    <w:rsid w:val="56FE1EF2"/>
    <w:rsid w:val="57245100"/>
    <w:rsid w:val="576F2D86"/>
    <w:rsid w:val="59F36D26"/>
    <w:rsid w:val="5A4E3E88"/>
    <w:rsid w:val="5AAA10A0"/>
    <w:rsid w:val="5BD20360"/>
    <w:rsid w:val="5C252372"/>
    <w:rsid w:val="5C976E58"/>
    <w:rsid w:val="5D5541F5"/>
    <w:rsid w:val="5E040BEE"/>
    <w:rsid w:val="5E2D1091"/>
    <w:rsid w:val="5F411550"/>
    <w:rsid w:val="614C0C55"/>
    <w:rsid w:val="61E23A6F"/>
    <w:rsid w:val="6276429E"/>
    <w:rsid w:val="63D335BF"/>
    <w:rsid w:val="645309E4"/>
    <w:rsid w:val="649549A0"/>
    <w:rsid w:val="64BC2D8E"/>
    <w:rsid w:val="65561D37"/>
    <w:rsid w:val="660F6908"/>
    <w:rsid w:val="67587B68"/>
    <w:rsid w:val="69CF0216"/>
    <w:rsid w:val="6ABB6D6B"/>
    <w:rsid w:val="6AC033B7"/>
    <w:rsid w:val="6AE67060"/>
    <w:rsid w:val="6BE172C8"/>
    <w:rsid w:val="6D1D15AA"/>
    <w:rsid w:val="6E855075"/>
    <w:rsid w:val="7053492F"/>
    <w:rsid w:val="71EF6E71"/>
    <w:rsid w:val="739F7DC3"/>
    <w:rsid w:val="746F7336"/>
    <w:rsid w:val="747852FC"/>
    <w:rsid w:val="74C02F04"/>
    <w:rsid w:val="76E325E8"/>
    <w:rsid w:val="77471860"/>
    <w:rsid w:val="77EC41DA"/>
    <w:rsid w:val="78204D88"/>
    <w:rsid w:val="785B6B77"/>
    <w:rsid w:val="78A90C8F"/>
    <w:rsid w:val="78BE6D08"/>
    <w:rsid w:val="79C12CD7"/>
    <w:rsid w:val="7A045D3B"/>
    <w:rsid w:val="7A595755"/>
    <w:rsid w:val="7AF724EE"/>
    <w:rsid w:val="7B432D00"/>
    <w:rsid w:val="7B9D4DEA"/>
    <w:rsid w:val="7C176A1C"/>
    <w:rsid w:val="7D273700"/>
    <w:rsid w:val="7DAC6D78"/>
    <w:rsid w:val="7EE3287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1"/>
    <w:qFormat/>
    <w:locked/>
    <w:uiPriority w:val="99"/>
    <w:pPr>
      <w:keepNext/>
      <w:keepLines/>
      <w:spacing w:line="576" w:lineRule="auto"/>
      <w:outlineLvl w:val="0"/>
    </w:pPr>
    <w:rPr>
      <w:b/>
      <w:kern w:val="44"/>
      <w:sz w:val="44"/>
    </w:rPr>
  </w:style>
  <w:style w:type="character" w:default="1" w:styleId="8">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2"/>
    <w:semiHidden/>
    <w:qFormat/>
    <w:uiPriority w:val="99"/>
    <w:pPr>
      <w:jc w:val="left"/>
    </w:pPr>
  </w:style>
  <w:style w:type="paragraph" w:styleId="4">
    <w:name w:val="Balloon Text"/>
    <w:basedOn w:val="1"/>
    <w:link w:val="13"/>
    <w:semiHidden/>
    <w:qFormat/>
    <w:uiPriority w:val="99"/>
    <w:rPr>
      <w:sz w:val="18"/>
      <w:szCs w:val="1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5"/>
    <w:semiHidden/>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99"/>
    <w:rPr>
      <w:rFonts w:cs="Times New Roman"/>
      <w:color w:val="0000FF"/>
      <w:u w:val="single"/>
    </w:rPr>
  </w:style>
  <w:style w:type="character" w:styleId="10">
    <w:name w:val="annotation reference"/>
    <w:basedOn w:val="8"/>
    <w:semiHidden/>
    <w:qFormat/>
    <w:uiPriority w:val="99"/>
    <w:rPr>
      <w:rFonts w:cs="Times New Roman"/>
      <w:sz w:val="21"/>
      <w:szCs w:val="21"/>
    </w:rPr>
  </w:style>
  <w:style w:type="character" w:customStyle="1" w:styleId="11">
    <w:name w:val="Heading 1 Char"/>
    <w:basedOn w:val="8"/>
    <w:link w:val="2"/>
    <w:qFormat/>
    <w:locked/>
    <w:uiPriority w:val="99"/>
    <w:rPr>
      <w:rFonts w:ascii="Calibri" w:hAnsi="Calibri" w:cs="Times New Roman"/>
      <w:b/>
      <w:bCs/>
      <w:kern w:val="44"/>
      <w:sz w:val="44"/>
      <w:szCs w:val="44"/>
    </w:rPr>
  </w:style>
  <w:style w:type="character" w:customStyle="1" w:styleId="12">
    <w:name w:val="Comment Text Char"/>
    <w:basedOn w:val="8"/>
    <w:link w:val="3"/>
    <w:semiHidden/>
    <w:qFormat/>
    <w:locked/>
    <w:uiPriority w:val="99"/>
    <w:rPr>
      <w:rFonts w:ascii="Calibri" w:hAnsi="Calibri" w:cs="Times New Roman"/>
    </w:rPr>
  </w:style>
  <w:style w:type="character" w:customStyle="1" w:styleId="13">
    <w:name w:val="Balloon Text Char"/>
    <w:basedOn w:val="8"/>
    <w:link w:val="4"/>
    <w:semiHidden/>
    <w:qFormat/>
    <w:locked/>
    <w:uiPriority w:val="99"/>
    <w:rPr>
      <w:rFonts w:ascii="Calibri" w:hAnsi="Calibri" w:cs="Times New Roman"/>
      <w:sz w:val="2"/>
    </w:rPr>
  </w:style>
  <w:style w:type="character" w:customStyle="1" w:styleId="14">
    <w:name w:val="Footer Char"/>
    <w:basedOn w:val="8"/>
    <w:link w:val="5"/>
    <w:qFormat/>
    <w:locked/>
    <w:uiPriority w:val="99"/>
    <w:rPr>
      <w:rFonts w:cs="Times New Roman"/>
      <w:sz w:val="18"/>
      <w:szCs w:val="18"/>
    </w:rPr>
  </w:style>
  <w:style w:type="character" w:customStyle="1" w:styleId="15">
    <w:name w:val="Header Char"/>
    <w:basedOn w:val="8"/>
    <w:link w:val="6"/>
    <w:semiHidden/>
    <w:qFormat/>
    <w:locked/>
    <w:uiPriority w:val="99"/>
    <w:rPr>
      <w:rFonts w:cs="Times New Roman"/>
      <w:sz w:val="18"/>
      <w:szCs w:val="18"/>
    </w:rPr>
  </w:style>
  <w:style w:type="paragraph" w:customStyle="1" w:styleId="16">
    <w:name w:val="WPSOffice手动目录 1"/>
    <w:qFormat/>
    <w:uiPriority w:val="99"/>
    <w:rPr>
      <w:rFonts w:ascii="Times New Roman" w:hAnsi="Times New Roman" w:eastAsia="宋体" w:cs="Times New Roman"/>
      <w:kern w:val="0"/>
      <w:sz w:val="20"/>
      <w:szCs w:val="20"/>
      <w:lang w:val="en-US" w:eastAsia="zh-CN" w:bidi="ar-SA"/>
    </w:rPr>
  </w:style>
  <w:style w:type="paragraph" w:customStyle="1" w:styleId="17">
    <w:name w:val="WPSOffice手动目录 2"/>
    <w:qFormat/>
    <w:uiPriority w:val="99"/>
    <w:pPr>
      <w:ind w:left="200" w:leftChars="200"/>
    </w:pPr>
    <w:rPr>
      <w:rFonts w:ascii="Times New Roman" w:hAnsi="Times New Roman" w:eastAsia="宋体" w:cs="Times New Roman"/>
      <w:kern w:val="0"/>
      <w:sz w:val="20"/>
      <w:szCs w:val="20"/>
      <w:lang w:val="en-US" w:eastAsia="zh-CN" w:bidi="ar-SA"/>
    </w:rPr>
  </w:style>
  <w:style w:type="paragraph" w:customStyle="1" w:styleId="18">
    <w:name w:val="WPSOffice手动目录 3"/>
    <w:qFormat/>
    <w:uiPriority w:val="99"/>
    <w:pPr>
      <w:ind w:left="400" w:leftChars="400"/>
    </w:pPr>
    <w:rPr>
      <w:rFonts w:ascii="Times New Roman" w:hAnsi="Times New Roman"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23</Pages>
  <Words>1923</Words>
  <Characters>10967</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2020-07-01T03:28:00Z</dcterms:created>
  <dc:creator>dell</dc:creator>
  <cp:lastModifiedBy>阮阮</cp:lastModifiedBy>
  <cp:lastPrinted>2020-07-01T00:29:00Z</cp:lastPrinted>
  <dcterms:modified xsi:type="dcterms:W3CDTF">2020-07-07T23:43:10Z</dcterms:modified>
  <dc:title>2019年秋季厦门市事业单位市、区联合招聘编内工作人员考试报考指南</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