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988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73"/>
        <w:gridCol w:w="936"/>
        <w:gridCol w:w="825"/>
        <w:gridCol w:w="1076"/>
        <w:gridCol w:w="3564"/>
        <w:gridCol w:w="1773"/>
        <w:gridCol w:w="1576"/>
        <w:gridCol w:w="2865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39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附件1：         </w:t>
            </w:r>
            <w:r>
              <w:rPr>
                <w:rFonts w:hint="eastAsia" w:ascii="宋体" w:hAnsi="宋体" w:eastAsia="宋体" w:cs="宋体"/>
                <w:b/>
                <w:kern w:val="0"/>
                <w:sz w:val="32"/>
                <w:szCs w:val="32"/>
                <w:bdr w:val="none" w:color="auto" w:sz="0" w:space="0"/>
                <w:shd w:val="clear" w:fill="FFFFFF"/>
                <w:lang w:val="en-US" w:eastAsia="zh-CN" w:bidi="ar"/>
              </w:rPr>
              <w:t>2020年度岳西县县级公立医院公开招聘紧缺专业技术人员岗位表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56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7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865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37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93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82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7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6913" w:type="dxa"/>
            <w:gridSpan w:val="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招聘条件</w:t>
            </w:r>
          </w:p>
        </w:tc>
        <w:tc>
          <w:tcPr>
            <w:tcW w:w="286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37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7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157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286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岳西县医院  （33名）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咨询电话：0556-2173804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X01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临床医学类（1002）、口腔医学类（1003）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X02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住院医师规培合格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X03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具有执业医师资格证书的，年龄放宽至30周岁。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X04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急诊科2名、感染科1名。具有执业医师资格证书的，年龄放宽至30周岁。(按成绩高低选岗)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X05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放射科2名、超声科1名。具有执业医师资格证书的，年龄放宽至30周岁。(按成绩高低选岗)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X06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放射科2名、超声科1名。具有执业医师资格证书的，年龄放宽至30周岁。(按成绩高低选岗)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X07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具有执业医师资格证书的，年龄放宽至30周岁。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X08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ICU (男性，特护）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X09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具有执业医师资格证书的，年龄放宽至30周岁。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X10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取得临床医学检验技术资格证书的人员，专业不限。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X11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本科（学士）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岳西县中医院（19名）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咨询电话：0556-2172431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X12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中医学、临床医学、中西医临床医学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儿科、骨一、骨二、外科、内镜室、眼耳鼻喉科、医务科、肛肠科、内四各一人(按成绩高低选岗)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X13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中医学、针灸推拿学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门诊康复、康复一、康复二(按成绩高低选岗)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X14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口腔医学、临床医学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口腔科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X15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医学检验技术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检验科，取得临床医学检验技术资格证书的人员，专业不限。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X16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临床医学、医学影像学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放射科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373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X17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356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77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57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28周岁以下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ICU (男性，特护）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398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注：专业类别以《普通高等学校本科专业目录（2012年）》及《授予博士、硕士学位和培养研究生的学科、专业目录》(2018年)等为参考标准。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0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0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2020年度岳西县县级公立医院公开招聘紧缺专业技术人员报名表</w:t>
      </w:r>
    </w:p>
    <w:tbl>
      <w:tblPr>
        <w:tblW w:w="980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944"/>
        <w:gridCol w:w="121"/>
        <w:gridCol w:w="1047"/>
        <w:gridCol w:w="598"/>
        <w:gridCol w:w="716"/>
        <w:gridCol w:w="506"/>
        <w:gridCol w:w="382"/>
        <w:gridCol w:w="534"/>
        <w:gridCol w:w="608"/>
        <w:gridCol w:w="559"/>
        <w:gridCol w:w="658"/>
        <w:gridCol w:w="1831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</w:trPr>
        <w:tc>
          <w:tcPr>
            <w:tcW w:w="12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37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92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9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00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</w:tblPrEx>
        <w:trPr>
          <w:trHeight w:val="1114" w:hRule="atLeast"/>
        </w:trPr>
        <w:tc>
          <w:tcPr>
            <w:tcW w:w="1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  （学位）</w:t>
            </w:r>
          </w:p>
        </w:tc>
        <w:tc>
          <w:tcPr>
            <w:tcW w:w="952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专业及执业资格证</w:t>
            </w:r>
          </w:p>
        </w:tc>
        <w:tc>
          <w:tcPr>
            <w:tcW w:w="221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2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何时何校毕业</w:t>
            </w:r>
          </w:p>
        </w:tc>
        <w:tc>
          <w:tcPr>
            <w:tcW w:w="4892" w:type="dxa"/>
            <w:gridSpan w:val="8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号码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2134" w:type="dxa"/>
            <w:gridSpan w:val="3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21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437" w:type="dxa"/>
            <w:gridSpan w:val="3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2520" w:type="dxa"/>
            <w:gridSpan w:val="2"/>
            <w:vMerge w:val="restart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rPr>
          <w:trHeight w:val="312" w:hRule="atLeast"/>
        </w:trPr>
        <w:tc>
          <w:tcPr>
            <w:tcW w:w="1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134" w:type="dxa"/>
            <w:gridSpan w:val="3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321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437" w:type="dxa"/>
            <w:gridSpan w:val="3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1180" w:type="dxa"/>
            <w:gridSpan w:val="2"/>
            <w:vMerge w:val="continue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2520" w:type="dxa"/>
            <w:gridSpan w:val="2"/>
            <w:vMerge w:val="continue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2282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报考单位及岗位</w:t>
            </w:r>
          </w:p>
        </w:tc>
        <w:tc>
          <w:tcPr>
            <w:tcW w:w="751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个人简历</w:t>
            </w:r>
          </w:p>
        </w:tc>
        <w:tc>
          <w:tcPr>
            <w:tcW w:w="8592" w:type="dxa"/>
            <w:gridSpan w:val="12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（从高中写起：）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592" w:type="dxa"/>
            <w:gridSpan w:val="1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592" w:type="dxa"/>
            <w:gridSpan w:val="1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7" w:hRule="atLeast"/>
        </w:trPr>
        <w:tc>
          <w:tcPr>
            <w:tcW w:w="120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  <w:tc>
          <w:tcPr>
            <w:tcW w:w="8592" w:type="dxa"/>
            <w:gridSpan w:val="12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9"/>
                <w:szCs w:val="19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atLeast"/>
        </w:trPr>
        <w:tc>
          <w:tcPr>
            <w:tcW w:w="1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考生诚信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承诺意见</w:t>
            </w:r>
          </w:p>
        </w:tc>
        <w:tc>
          <w:tcPr>
            <w:tcW w:w="859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4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上述所填写情况和提供的相关材料、证件均真实有效。若有虚假，同意取消聘用资格。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报考人（签名）： 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 w:firstLine="456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   月 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7" w:hRule="atLeast"/>
        </w:trPr>
        <w:tc>
          <w:tcPr>
            <w:tcW w:w="12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资格审查人员签名</w:t>
            </w:r>
          </w:p>
        </w:tc>
        <w:tc>
          <w:tcPr>
            <w:tcW w:w="8592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48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/>
              <w:ind w:left="0" w:right="84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2020年  月 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2020年度岳西县县级公立医院公开招聘紧缺专业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技术人员报名考试期间疫情防控须知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一、考生报名须知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0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1、考生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报名日前14天内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0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2、报名时应查验“安康码”，须绿码且体温正常。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0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3、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报名工作日，报名点入口处设置体温监测专用通道。所有考生入场前，需佩戴防护口罩，并逐一进行体温检测。体温正常，方可进入报名场所。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4、在报名点入口处等候时，每位人员保持1米以上的安全距离。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5、报名工作日，在报名点入口处体温检测偏高的考生，由工作人员带至隔离观察室，用水银体温计再次检测。若正常，该考生可以正常参加报名；若体温仍然偏高，则由救护车带至发热门诊进行筛查。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6、经发热门诊医生检查能够排疑的考生，由救护车立即送其至报名现场正常参加报名。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7、经发热门诊医生检查不能排疑的考生，则由县疫情防控指挥部按规定对其进行隔离，不得参加报名。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8、在报名资格审查核对身份证件时，考生须摘下口罩，以便工作人员核验。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9、报名点准备了专门的垃圾收集装置，用过的口罩需集中弃置指定的垃圾桶处理，不可随意丢弃。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二、考生考试须知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1、考生须做好个人防护，因与可疑人员接触导致隔离而不能来岳正常参加考试的，责任自负。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、所有考生面试前2天须到达岳西县医院核酸实验室进行核酸检测，面试前1天凭县医院出具的核酸检测阴性证明到县卫健委二楼会议室（建设东路64号二楼）领取面试通知书。若考生核酸检测阳性的，由县疫情防控指挥部对其实施隔离，该考生报考岗位的所有考生暂停面试，面试时间另行通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3、未能在规定时间来岳进行核酸检测的考生，视为自动放弃本次公开招聘考试资格。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4、面试当天，在考点入口处设置体温监测专用通道。所有考生入场前，需佩戴防护口罩，并逐一进行体温检测。体温正常，方可进入面试场所。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5、在考点入口处等候时，每位人员保持1米以上的安全距离。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6、面试当天，在考点入口处体温检测偏高的考生，由工作人员带至隔离观察室，用水银体温计再次检测。若正常，该考生可以正常参加面试；若体温仍然偏高，则由救护车带至发热门诊进行筛查。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7、经发热门诊医生检查能够排疑的考生，由救护车立即送其至考场正常参加面试。该候考室的考生需等待该考生到达候考室后方可抽签。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8、经发热门诊医生检查不能排疑的考生，则由县疫情防控指挥部按规定对其进行隔离，该考生报考岗位的所有考生暂停面试，面试时间另行通知。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9、在候考室核对身份证件时，考生须摘下口罩，以便工作人员核验。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10、考点准备了专门的垃圾收集装置，用过的口罩需集中弃置指定的垃圾桶处理，不可随意丢弃。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560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9"/>
          <w:szCs w:val="19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6838" w:h="11906" w:orient="landscape"/>
      <w:pgMar w:top="3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E350B7"/>
    <w:rsid w:val="4CE35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2020-06-28T04:09:00Z</dcterms:created>
  <dc:creator>ぺ灬cc果冻ル</dc:creator>
  <cp:lastModifiedBy>ぺ灬cc果冻ル</cp:lastModifiedBy>
  <dcterms:modified xsi:type="dcterms:W3CDTF">2020-06-28T04:10:02Z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