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360" w:lineRule="auto"/>
        <w:rPr>
          <w:rFonts w:hint="eastAsia" w:hAnsi="宋体"/>
          <w:sz w:val="24"/>
          <w:szCs w:val="24"/>
        </w:rPr>
      </w:pPr>
    </w:p>
    <w:p>
      <w:pPr>
        <w:pStyle w:val="2"/>
        <w:spacing w:beforeLines="50" w:after="120" w:afterLines="50" w:line="360" w:lineRule="auto"/>
        <w:rPr>
          <w:rFonts w:hint="eastAsia" w:hAnsi="宋体" w:eastAsia="宋体"/>
          <w:szCs w:val="28"/>
        </w:rPr>
      </w:pPr>
      <w:bookmarkStart w:id="0" w:name="_Toc140049415"/>
      <w:bookmarkStart w:id="1" w:name="_Toc343513162"/>
      <w:bookmarkStart w:id="2" w:name="_Toc508009182"/>
      <w:r>
        <w:rPr>
          <w:rFonts w:hint="eastAsia" w:hAnsi="宋体" w:eastAsia="宋体"/>
          <w:szCs w:val="28"/>
        </w:rPr>
        <w:t>系统使用说明</w:t>
      </w:r>
      <w:bookmarkEnd w:id="0"/>
      <w:bookmarkEnd w:id="1"/>
      <w:bookmarkEnd w:id="2"/>
    </w:p>
    <w:p>
      <w:pPr>
        <w:pStyle w:val="3"/>
        <w:spacing w:line="360" w:lineRule="auto"/>
        <w:rPr>
          <w:rFonts w:hint="eastAsia" w:hAnsi="宋体" w:eastAsia="宋体"/>
          <w:szCs w:val="24"/>
        </w:rPr>
      </w:pPr>
      <w:bookmarkStart w:id="3" w:name="_Toc427749126"/>
      <w:bookmarkStart w:id="4" w:name="_Toc508009183"/>
      <w:bookmarkStart w:id="5" w:name="_Toc140049416"/>
      <w:bookmarkStart w:id="6" w:name="_Toc343513168"/>
      <w:r>
        <w:rPr>
          <w:rFonts w:hint="eastAsia" w:hAnsi="宋体" w:eastAsia="宋体"/>
          <w:szCs w:val="24"/>
        </w:rPr>
        <w:t>前台管理</w:t>
      </w:r>
      <w:bookmarkEnd w:id="3"/>
      <w:bookmarkEnd w:id="4"/>
      <w:bookmarkStart w:id="31" w:name="_GoBack"/>
      <w:bookmarkEnd w:id="31"/>
    </w:p>
    <w:p>
      <w:pPr>
        <w:pStyle w:val="4"/>
        <w:spacing w:line="360" w:lineRule="auto"/>
        <w:rPr>
          <w:rFonts w:hint="eastAsia" w:hAnsi="宋体" w:eastAsia="宋体"/>
          <w:sz w:val="24"/>
          <w:szCs w:val="24"/>
        </w:rPr>
      </w:pPr>
      <w:bookmarkStart w:id="7" w:name="_Toc427749127"/>
      <w:bookmarkStart w:id="8" w:name="_Toc508009184"/>
      <w:r>
        <w:rPr>
          <w:rFonts w:hint="eastAsia" w:hAnsi="宋体" w:eastAsia="宋体"/>
          <w:sz w:val="24"/>
          <w:szCs w:val="24"/>
        </w:rPr>
        <w:t>考生注册</w:t>
      </w:r>
      <w:bookmarkEnd w:id="7"/>
      <w:bookmarkEnd w:id="8"/>
    </w:p>
    <w:p>
      <w:pPr>
        <w:spacing w:line="360" w:lineRule="auto"/>
        <w:rPr>
          <w:rFonts w:hint="eastAsia" w:hAnsi="宋体"/>
          <w:sz w:val="24"/>
          <w:szCs w:val="24"/>
        </w:rPr>
      </w:pPr>
      <w:r>
        <w:rPr>
          <w:rFonts w:hint="eastAsia" w:hAnsi="宋体"/>
          <w:sz w:val="24"/>
          <w:szCs w:val="24"/>
        </w:rPr>
        <w:t>输入相应的网址，进入登录界面，如下图所示：</w:t>
      </w:r>
    </w:p>
    <w:p>
      <w:pPr>
        <w:spacing w:line="360" w:lineRule="auto"/>
        <w:rPr>
          <w:rFonts w:hint="eastAsia" w:hAnsi="宋体"/>
          <w:sz w:val="24"/>
          <w:szCs w:val="24"/>
        </w:rPr>
      </w:pPr>
      <w:r>
        <w:rPr>
          <w:rFonts w:hAnsi="宋体"/>
          <w:sz w:val="24"/>
          <w:szCs w:val="24"/>
          <w:lang/>
        </w:rPr>
        <w:drawing>
          <wp:inline distT="0" distB="0" distL="114300" distR="114300">
            <wp:extent cx="5482590" cy="2435860"/>
            <wp:effectExtent l="0" t="0" r="381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82590" cy="243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hAnsi="宋体"/>
          <w:sz w:val="24"/>
          <w:szCs w:val="24"/>
        </w:rPr>
      </w:pPr>
      <w:r>
        <w:rPr>
          <w:rFonts w:hint="eastAsia" w:hAnsi="宋体"/>
          <w:sz w:val="24"/>
          <w:szCs w:val="24"/>
        </w:rPr>
        <w:t>点击“注册”按钮，进入考生注册页面，如下图所示：</w:t>
      </w:r>
    </w:p>
    <w:p>
      <w:pPr>
        <w:spacing w:line="360" w:lineRule="auto"/>
        <w:rPr>
          <w:rFonts w:hint="eastAsia" w:hAnsi="宋体"/>
          <w:sz w:val="24"/>
          <w:szCs w:val="24"/>
        </w:rPr>
      </w:pPr>
      <w:r>
        <w:rPr>
          <w:rFonts w:hAnsi="宋体"/>
          <w:sz w:val="24"/>
          <w:szCs w:val="24"/>
          <w:lang/>
        </w:rPr>
        <w:drawing>
          <wp:inline distT="0" distB="0" distL="114300" distR="114300">
            <wp:extent cx="5480685" cy="3116580"/>
            <wp:effectExtent l="0" t="0" r="5715" b="762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80685" cy="3116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hAnsi="宋体"/>
          <w:sz w:val="24"/>
          <w:szCs w:val="24"/>
        </w:rPr>
      </w:pPr>
      <w:r>
        <w:rPr>
          <w:rFonts w:hint="eastAsia" w:hAnsi="宋体"/>
          <w:sz w:val="24"/>
          <w:szCs w:val="24"/>
        </w:rPr>
        <w:t>填写相应的注册信息后，点击“注册”按钮，可以完成注册。</w:t>
      </w:r>
    </w:p>
    <w:p>
      <w:pPr>
        <w:pStyle w:val="4"/>
        <w:spacing w:line="360" w:lineRule="auto"/>
        <w:rPr>
          <w:rFonts w:hint="eastAsia" w:hAnsi="宋体" w:eastAsia="宋体"/>
          <w:sz w:val="24"/>
          <w:szCs w:val="24"/>
        </w:rPr>
      </w:pPr>
      <w:bookmarkStart w:id="9" w:name="_Toc427749128"/>
      <w:bookmarkStart w:id="10" w:name="_Toc508009185"/>
      <w:r>
        <w:rPr>
          <w:rFonts w:hint="eastAsia" w:hAnsi="宋体" w:eastAsia="宋体"/>
          <w:sz w:val="24"/>
          <w:szCs w:val="24"/>
        </w:rPr>
        <w:t>登录系统</w:t>
      </w:r>
      <w:bookmarkEnd w:id="9"/>
      <w:bookmarkEnd w:id="10"/>
    </w:p>
    <w:p>
      <w:pPr>
        <w:spacing w:line="360" w:lineRule="auto"/>
        <w:rPr>
          <w:rFonts w:hint="eastAsia" w:hAnsi="宋体"/>
          <w:sz w:val="24"/>
          <w:szCs w:val="24"/>
        </w:rPr>
      </w:pPr>
      <w:r>
        <w:rPr>
          <w:rFonts w:hint="eastAsia" w:hAnsi="宋体"/>
          <w:sz w:val="24"/>
          <w:szCs w:val="24"/>
        </w:rPr>
        <w:t>输入相应的网址，进入登录界面，如下图所示：</w:t>
      </w:r>
    </w:p>
    <w:p>
      <w:pPr>
        <w:spacing w:line="360" w:lineRule="auto"/>
        <w:rPr>
          <w:rFonts w:hint="eastAsia" w:hAnsi="宋体"/>
          <w:sz w:val="24"/>
          <w:szCs w:val="24"/>
          <w:lang/>
        </w:rPr>
      </w:pPr>
      <w:r>
        <w:rPr>
          <w:rFonts w:hAnsi="宋体"/>
          <w:sz w:val="24"/>
          <w:szCs w:val="24"/>
          <w:lang/>
        </w:rPr>
        <w:drawing>
          <wp:inline distT="0" distB="0" distL="114300" distR="114300">
            <wp:extent cx="5482590" cy="2435860"/>
            <wp:effectExtent l="0" t="0" r="3810" b="254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82590" cy="243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hAnsi="宋体"/>
          <w:sz w:val="24"/>
          <w:szCs w:val="24"/>
        </w:rPr>
      </w:pPr>
      <w:r>
        <w:rPr>
          <w:rFonts w:hint="eastAsia" w:hAnsi="宋体"/>
          <w:sz w:val="24"/>
          <w:szCs w:val="24"/>
        </w:rPr>
        <w:t>在考生登录处进行登录，登录成功后跳转到上传照片页面，如下图所示：</w:t>
      </w:r>
    </w:p>
    <w:p>
      <w:pPr>
        <w:spacing w:line="360" w:lineRule="auto"/>
        <w:rPr>
          <w:rFonts w:hint="eastAsia" w:hAnsi="宋体"/>
          <w:sz w:val="24"/>
          <w:szCs w:val="24"/>
        </w:rPr>
      </w:pPr>
      <w:r>
        <w:rPr>
          <w:rFonts w:hAnsi="宋体"/>
          <w:sz w:val="24"/>
          <w:szCs w:val="24"/>
          <w:lang/>
        </w:rPr>
        <w:drawing>
          <wp:inline distT="0" distB="0" distL="114300" distR="114300">
            <wp:extent cx="5487670" cy="3316605"/>
            <wp:effectExtent l="0" t="0" r="11430" b="10795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87670" cy="3316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hAnsi="宋体"/>
          <w:sz w:val="24"/>
          <w:szCs w:val="24"/>
        </w:rPr>
      </w:pPr>
      <w:r>
        <w:rPr>
          <w:rFonts w:hint="eastAsia" w:hAnsi="宋体"/>
          <w:sz w:val="24"/>
          <w:szCs w:val="24"/>
        </w:rPr>
        <w:t>打开照片审核工具审核通过的照片,输入验证码,点击保存图片,成功后跳转到主页面，如下图所示：</w:t>
      </w:r>
    </w:p>
    <w:p>
      <w:pPr>
        <w:spacing w:line="360" w:lineRule="auto"/>
        <w:rPr>
          <w:rFonts w:hint="eastAsia" w:hAnsi="宋体"/>
          <w:sz w:val="24"/>
          <w:szCs w:val="24"/>
        </w:rPr>
      </w:pPr>
      <w:r>
        <w:rPr>
          <w:rFonts w:hAnsi="宋体"/>
          <w:sz w:val="24"/>
          <w:szCs w:val="24"/>
          <w:lang/>
        </w:rPr>
        <w:drawing>
          <wp:inline distT="0" distB="0" distL="114300" distR="114300">
            <wp:extent cx="5486400" cy="3104515"/>
            <wp:effectExtent l="0" t="0" r="0" b="6985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104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spacing w:line="360" w:lineRule="auto"/>
        <w:rPr>
          <w:rFonts w:hint="eastAsia" w:hAnsi="宋体" w:eastAsia="宋体"/>
          <w:sz w:val="24"/>
          <w:szCs w:val="24"/>
        </w:rPr>
      </w:pPr>
      <w:bookmarkStart w:id="11" w:name="_Toc427749129"/>
      <w:bookmarkStart w:id="12" w:name="_Toc508009186"/>
      <w:r>
        <w:rPr>
          <w:rFonts w:hint="eastAsia" w:hAnsi="宋体" w:eastAsia="宋体"/>
          <w:sz w:val="24"/>
          <w:szCs w:val="24"/>
        </w:rPr>
        <w:t>注册信息维护</w:t>
      </w:r>
      <w:bookmarkEnd w:id="11"/>
      <w:bookmarkEnd w:id="12"/>
    </w:p>
    <w:p>
      <w:pPr>
        <w:spacing w:line="360" w:lineRule="auto"/>
        <w:rPr>
          <w:rFonts w:hint="eastAsia" w:hAnsi="宋体"/>
          <w:sz w:val="24"/>
          <w:szCs w:val="24"/>
        </w:rPr>
      </w:pPr>
      <w:r>
        <w:rPr>
          <w:rFonts w:hint="eastAsia" w:hAnsi="宋体"/>
          <w:sz w:val="24"/>
          <w:szCs w:val="24"/>
        </w:rPr>
        <w:t>通过点击系统导航菜单中“注册信息维护”选项，可跳转到修改注册信息页面，如下图所示：</w:t>
      </w:r>
    </w:p>
    <w:p>
      <w:pPr>
        <w:spacing w:line="360" w:lineRule="auto"/>
        <w:rPr>
          <w:rFonts w:hint="eastAsia" w:hAnsi="宋体"/>
          <w:sz w:val="24"/>
          <w:szCs w:val="24"/>
        </w:rPr>
      </w:pPr>
      <w:r>
        <w:rPr>
          <w:lang/>
        </w:rPr>
        <w:drawing>
          <wp:inline distT="0" distB="0" distL="114300" distR="114300">
            <wp:extent cx="5484495" cy="3317240"/>
            <wp:effectExtent l="0" t="0" r="1905" b="10160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84495" cy="3317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hAnsi="宋体"/>
          <w:sz w:val="24"/>
          <w:szCs w:val="24"/>
        </w:rPr>
      </w:pPr>
      <w:r>
        <w:rPr>
          <w:rFonts w:hint="eastAsia" w:hAnsi="宋体"/>
          <w:sz w:val="24"/>
          <w:szCs w:val="24"/>
        </w:rPr>
        <w:t>在此页面可以完成对考生个人信息的修改。</w:t>
      </w:r>
    </w:p>
    <w:p>
      <w:pPr>
        <w:spacing w:line="360" w:lineRule="auto"/>
        <w:rPr>
          <w:rFonts w:hint="eastAsia" w:hAnsi="宋体"/>
          <w:sz w:val="24"/>
          <w:szCs w:val="24"/>
        </w:rPr>
      </w:pPr>
    </w:p>
    <w:p>
      <w:pPr>
        <w:pStyle w:val="4"/>
        <w:spacing w:line="360" w:lineRule="auto"/>
        <w:rPr>
          <w:rFonts w:hint="eastAsia" w:hAnsi="宋体" w:eastAsia="宋体"/>
          <w:sz w:val="24"/>
          <w:szCs w:val="24"/>
        </w:rPr>
      </w:pPr>
      <w:bookmarkStart w:id="13" w:name="_Toc427749130"/>
      <w:bookmarkStart w:id="14" w:name="_Toc508009187"/>
      <w:r>
        <w:rPr>
          <w:rFonts w:hint="eastAsia" w:hAnsi="宋体" w:eastAsia="宋体"/>
          <w:sz w:val="24"/>
          <w:szCs w:val="24"/>
        </w:rPr>
        <w:t>考生报名</w:t>
      </w:r>
      <w:bookmarkEnd w:id="13"/>
      <w:bookmarkEnd w:id="14"/>
    </w:p>
    <w:p>
      <w:pPr>
        <w:spacing w:line="360" w:lineRule="auto"/>
        <w:rPr>
          <w:rFonts w:hint="eastAsia" w:hAnsi="宋体"/>
          <w:sz w:val="24"/>
          <w:szCs w:val="24"/>
        </w:rPr>
      </w:pPr>
      <w:r>
        <w:rPr>
          <w:rFonts w:hint="eastAsia" w:hAnsi="宋体"/>
          <w:sz w:val="24"/>
          <w:szCs w:val="24"/>
        </w:rPr>
        <w:t>通过点击系统导航菜单中“选择考试”选项可以跳转到选择要报名的考试的页面，如下图所示：</w:t>
      </w:r>
    </w:p>
    <w:p>
      <w:pPr>
        <w:spacing w:line="360" w:lineRule="auto"/>
        <w:rPr>
          <w:rFonts w:hint="eastAsia" w:hAnsi="宋体"/>
          <w:sz w:val="24"/>
          <w:szCs w:val="24"/>
        </w:rPr>
      </w:pPr>
      <w:r>
        <w:rPr>
          <w:rFonts w:hAnsi="宋体"/>
          <w:sz w:val="24"/>
          <w:szCs w:val="24"/>
          <w:lang/>
        </w:rPr>
        <w:drawing>
          <wp:inline distT="0" distB="0" distL="114300" distR="114300">
            <wp:extent cx="5481955" cy="3328035"/>
            <wp:effectExtent l="0" t="0" r="4445" b="12065"/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81955" cy="3328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hAnsi="宋体"/>
          <w:sz w:val="24"/>
          <w:szCs w:val="24"/>
        </w:rPr>
      </w:pPr>
      <w:r>
        <w:rPr>
          <w:rFonts w:hint="eastAsia" w:hAnsi="宋体"/>
          <w:sz w:val="24"/>
          <w:szCs w:val="24"/>
        </w:rPr>
        <w:t>通过点击相应的考试类别,选择相应的考试，进入考生选择省市页面，如下图所示：</w:t>
      </w:r>
    </w:p>
    <w:p>
      <w:pPr>
        <w:spacing w:line="360" w:lineRule="auto"/>
        <w:rPr>
          <w:rFonts w:hint="eastAsia" w:hAnsi="宋体"/>
          <w:sz w:val="24"/>
          <w:szCs w:val="24"/>
          <w:lang/>
        </w:rPr>
      </w:pPr>
      <w:r>
        <w:rPr>
          <w:rFonts w:hAnsi="宋体"/>
          <w:sz w:val="24"/>
          <w:szCs w:val="24"/>
          <w:lang/>
        </w:rPr>
        <w:drawing>
          <wp:inline distT="0" distB="0" distL="114300" distR="114300">
            <wp:extent cx="5481955" cy="3274695"/>
            <wp:effectExtent l="0" t="0" r="4445" b="1905"/>
            <wp:docPr id="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81955" cy="3274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hAnsi="宋体"/>
          <w:sz w:val="24"/>
          <w:szCs w:val="24"/>
          <w:lang/>
        </w:rPr>
      </w:pPr>
      <w:r>
        <w:rPr>
          <w:rFonts w:hint="eastAsia" w:hAnsi="宋体"/>
          <w:sz w:val="24"/>
          <w:szCs w:val="24"/>
          <w:lang/>
        </w:rPr>
        <w:t>选择省市之后,通过点击提交,进入报考须知阅读页面,如下图所示:</w:t>
      </w:r>
    </w:p>
    <w:p>
      <w:pPr>
        <w:spacing w:line="360" w:lineRule="auto"/>
        <w:rPr>
          <w:rFonts w:hint="eastAsia" w:hAnsi="宋体"/>
          <w:sz w:val="24"/>
          <w:szCs w:val="24"/>
          <w:lang/>
        </w:rPr>
      </w:pPr>
      <w:r>
        <w:rPr>
          <w:rFonts w:hAnsi="宋体"/>
          <w:sz w:val="24"/>
          <w:szCs w:val="24"/>
          <w:lang/>
        </w:rPr>
        <w:drawing>
          <wp:inline distT="0" distB="0" distL="114300" distR="114300">
            <wp:extent cx="5488940" cy="3290570"/>
            <wp:effectExtent l="0" t="0" r="10160" b="11430"/>
            <wp:docPr id="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488940" cy="3290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hAnsi="宋体"/>
          <w:sz w:val="24"/>
          <w:szCs w:val="24"/>
          <w:lang/>
        </w:rPr>
      </w:pPr>
      <w:r>
        <w:rPr>
          <w:rFonts w:hAnsi="宋体"/>
          <w:sz w:val="24"/>
          <w:szCs w:val="24"/>
          <w:lang/>
        </w:rPr>
        <w:drawing>
          <wp:inline distT="0" distB="0" distL="114300" distR="114300">
            <wp:extent cx="5485765" cy="3241040"/>
            <wp:effectExtent l="0" t="0" r="635" b="10160"/>
            <wp:docPr id="1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485765" cy="3241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hAnsi="宋体"/>
          <w:sz w:val="24"/>
          <w:szCs w:val="24"/>
          <w:lang/>
        </w:rPr>
      </w:pPr>
      <w:r>
        <w:rPr>
          <w:rFonts w:hint="eastAsia" w:hAnsi="宋体"/>
          <w:sz w:val="24"/>
          <w:szCs w:val="24"/>
          <w:lang/>
        </w:rPr>
        <w:t>通过点击接受按钮,进入考生填写报名信息的页面,如下图所示:</w:t>
      </w:r>
    </w:p>
    <w:p>
      <w:pPr>
        <w:spacing w:line="360" w:lineRule="auto"/>
        <w:rPr>
          <w:rFonts w:hint="eastAsia" w:hAnsi="宋体"/>
          <w:sz w:val="24"/>
          <w:szCs w:val="24"/>
        </w:rPr>
      </w:pPr>
      <w:r>
        <w:rPr>
          <w:lang/>
        </w:rPr>
        <w:drawing>
          <wp:inline distT="0" distB="0" distL="114300" distR="114300">
            <wp:extent cx="5485765" cy="3228975"/>
            <wp:effectExtent l="0" t="0" r="635" b="9525"/>
            <wp:docPr id="1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85765" cy="3228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hAnsi="宋体"/>
          <w:sz w:val="24"/>
          <w:szCs w:val="24"/>
        </w:rPr>
      </w:pPr>
      <w:r>
        <w:rPr>
          <w:rFonts w:hint="eastAsia" w:hAnsi="宋体"/>
          <w:sz w:val="24"/>
          <w:szCs w:val="24"/>
        </w:rPr>
        <w:t>考生填写个人的报考信息后，点击“保存”按钮后，提示保存成功,可跳转到报考流程页面，如下图所示：</w:t>
      </w:r>
    </w:p>
    <w:p>
      <w:pPr>
        <w:spacing w:line="360" w:lineRule="auto"/>
        <w:rPr>
          <w:rFonts w:hint="eastAsia" w:hAnsi="宋体"/>
          <w:sz w:val="24"/>
          <w:szCs w:val="24"/>
        </w:rPr>
      </w:pPr>
      <w:r>
        <w:rPr>
          <w:rFonts w:hAnsi="宋体"/>
          <w:sz w:val="24"/>
          <w:szCs w:val="24"/>
          <w:lang/>
        </w:rPr>
        <w:drawing>
          <wp:inline distT="0" distB="0" distL="114300" distR="114300">
            <wp:extent cx="5488940" cy="3332480"/>
            <wp:effectExtent l="0" t="0" r="10160" b="7620"/>
            <wp:docPr id="1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488940" cy="3332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hAnsi="宋体"/>
          <w:sz w:val="24"/>
          <w:szCs w:val="24"/>
        </w:rPr>
      </w:pPr>
      <w:r>
        <w:rPr>
          <w:rFonts w:hint="eastAsia" w:hAnsi="宋体"/>
          <w:sz w:val="24"/>
          <w:szCs w:val="24"/>
        </w:rPr>
        <w:t>通过点击“选择报考职位”选项，可以跳转到选择报考职位界面，如下图所示：</w:t>
      </w:r>
    </w:p>
    <w:p>
      <w:pPr>
        <w:spacing w:line="360" w:lineRule="auto"/>
        <w:rPr>
          <w:rFonts w:hint="eastAsia" w:hAnsi="宋体"/>
          <w:sz w:val="24"/>
          <w:szCs w:val="24"/>
        </w:rPr>
      </w:pPr>
      <w:r>
        <w:rPr>
          <w:lang/>
        </w:rPr>
        <w:drawing>
          <wp:inline distT="0" distB="0" distL="114300" distR="114300">
            <wp:extent cx="5943600" cy="3702050"/>
            <wp:effectExtent l="0" t="0" r="0" b="6350"/>
            <wp:docPr id="1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0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hAnsi="宋体"/>
          <w:sz w:val="24"/>
          <w:szCs w:val="24"/>
        </w:rPr>
      </w:pPr>
      <w:r>
        <w:rPr>
          <w:rFonts w:hint="eastAsia" w:hAnsi="宋体"/>
          <w:sz w:val="24"/>
          <w:szCs w:val="24"/>
        </w:rPr>
        <w:t>选择职位所在地市及相应的职位，点击“保存”按钮，提示保存成功,可以跳转到报考流程页面，如下图所示：</w:t>
      </w:r>
    </w:p>
    <w:p>
      <w:pPr>
        <w:spacing w:line="360" w:lineRule="auto"/>
        <w:rPr>
          <w:rFonts w:hint="eastAsia" w:hAnsi="宋体"/>
          <w:sz w:val="24"/>
          <w:szCs w:val="24"/>
        </w:rPr>
      </w:pPr>
      <w:r>
        <w:rPr>
          <w:rFonts w:hAnsi="宋体"/>
          <w:sz w:val="24"/>
          <w:szCs w:val="24"/>
          <w:lang/>
        </w:rPr>
        <w:drawing>
          <wp:inline distT="0" distB="0" distL="114300" distR="114300">
            <wp:extent cx="5487670" cy="3256915"/>
            <wp:effectExtent l="0" t="0" r="11430" b="6985"/>
            <wp:docPr id="1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87670" cy="3256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hAnsi="宋体"/>
          <w:sz w:val="24"/>
          <w:szCs w:val="24"/>
        </w:rPr>
      </w:pPr>
      <w:r>
        <w:rPr>
          <w:rFonts w:hint="eastAsia" w:hAnsi="宋体"/>
          <w:sz w:val="24"/>
          <w:szCs w:val="24"/>
        </w:rPr>
        <w:t>通过点击“报名信息确认”按钮后，跳转到报名信息确认页面,如下图所示:</w:t>
      </w:r>
    </w:p>
    <w:p>
      <w:pPr>
        <w:spacing w:line="360" w:lineRule="auto"/>
        <w:rPr>
          <w:rFonts w:hint="eastAsia" w:hAnsi="宋体"/>
          <w:sz w:val="24"/>
          <w:szCs w:val="24"/>
        </w:rPr>
      </w:pPr>
      <w:r>
        <w:rPr>
          <w:rFonts w:hAnsi="宋体"/>
          <w:sz w:val="24"/>
          <w:szCs w:val="24"/>
          <w:lang/>
        </w:rPr>
        <w:drawing>
          <wp:inline distT="0" distB="0" distL="114300" distR="114300">
            <wp:extent cx="5481955" cy="3299460"/>
            <wp:effectExtent l="0" t="0" r="4445" b="2540"/>
            <wp:docPr id="1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481955" cy="3299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hAnsi="宋体"/>
          <w:sz w:val="24"/>
          <w:szCs w:val="24"/>
        </w:rPr>
      </w:pPr>
      <w:r>
        <w:rPr>
          <w:rFonts w:hint="eastAsia" w:hAnsi="宋体"/>
          <w:sz w:val="24"/>
          <w:szCs w:val="24"/>
        </w:rPr>
        <w:t>通过点击“确认”按钮，提示确认成功后跳转到报考流程页面。至此，考生填报信息结束。</w:t>
      </w:r>
    </w:p>
    <w:p>
      <w:pPr>
        <w:pStyle w:val="4"/>
        <w:spacing w:line="360" w:lineRule="auto"/>
        <w:rPr>
          <w:rFonts w:hint="eastAsia" w:hAnsi="宋体" w:eastAsia="宋体"/>
          <w:sz w:val="24"/>
          <w:szCs w:val="24"/>
        </w:rPr>
      </w:pPr>
      <w:bookmarkStart w:id="15" w:name="_Toc427749132"/>
      <w:bookmarkStart w:id="16" w:name="_Toc508009189"/>
      <w:r>
        <w:rPr>
          <w:rFonts w:hint="eastAsia" w:hAnsi="宋体" w:eastAsia="宋体"/>
          <w:sz w:val="24"/>
          <w:szCs w:val="24"/>
        </w:rPr>
        <w:t>网上缴费</w:t>
      </w:r>
      <w:bookmarkEnd w:id="15"/>
      <w:bookmarkEnd w:id="16"/>
    </w:p>
    <w:p>
      <w:pPr>
        <w:spacing w:line="360" w:lineRule="auto"/>
        <w:rPr>
          <w:rFonts w:hint="eastAsia" w:hAnsi="宋体"/>
          <w:sz w:val="24"/>
          <w:szCs w:val="24"/>
        </w:rPr>
      </w:pPr>
      <w:r>
        <w:rPr>
          <w:rFonts w:hint="eastAsia" w:hAnsi="宋体"/>
          <w:sz w:val="24"/>
          <w:szCs w:val="24"/>
        </w:rPr>
        <w:t>审核通过的考生可以进行网上缴费，点击报考流程中“网上缴费”选项，可以进入网上缴费的页面，如下图所示：</w:t>
      </w:r>
    </w:p>
    <w:p>
      <w:pPr>
        <w:spacing w:line="360" w:lineRule="auto"/>
        <w:rPr>
          <w:rFonts w:hint="eastAsia" w:hAnsi="宋体"/>
          <w:sz w:val="24"/>
          <w:szCs w:val="24"/>
          <w:lang/>
        </w:rPr>
      </w:pPr>
      <w:r>
        <w:rPr>
          <w:rFonts w:hAnsi="宋体"/>
          <w:sz w:val="24"/>
          <w:szCs w:val="24"/>
          <w:lang/>
        </w:rPr>
        <w:drawing>
          <wp:inline distT="0" distB="0" distL="114300" distR="114300">
            <wp:extent cx="5489575" cy="3345815"/>
            <wp:effectExtent l="0" t="0" r="9525" b="6985"/>
            <wp:docPr id="1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489575" cy="3345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hAnsi="宋体"/>
          <w:sz w:val="24"/>
          <w:szCs w:val="24"/>
        </w:rPr>
      </w:pPr>
      <w:r>
        <w:rPr>
          <w:rFonts w:hAnsi="宋体"/>
          <w:sz w:val="24"/>
          <w:szCs w:val="24"/>
          <w:lang/>
        </w:rPr>
        <w:drawing>
          <wp:inline distT="0" distB="0" distL="114300" distR="114300">
            <wp:extent cx="5488305" cy="3291840"/>
            <wp:effectExtent l="0" t="0" r="10795" b="10160"/>
            <wp:docPr id="1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488305" cy="3291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hAnsi="宋体"/>
          <w:sz w:val="24"/>
          <w:szCs w:val="24"/>
        </w:rPr>
      </w:pPr>
      <w:r>
        <w:rPr>
          <w:rFonts w:hint="eastAsia" w:hAnsi="宋体"/>
          <w:sz w:val="24"/>
          <w:szCs w:val="24"/>
        </w:rPr>
        <w:t>考生可以根据自己的情况选择支付的网关，选择完成后点击“生成订单”按钮，可以生成订单，如下图所示：</w:t>
      </w:r>
    </w:p>
    <w:p>
      <w:pPr>
        <w:spacing w:line="360" w:lineRule="auto"/>
        <w:rPr>
          <w:rFonts w:hint="eastAsia" w:hAnsi="宋体"/>
          <w:sz w:val="24"/>
          <w:szCs w:val="24"/>
        </w:rPr>
      </w:pPr>
      <w:r>
        <w:rPr>
          <w:rFonts w:hAnsi="宋体"/>
          <w:sz w:val="24"/>
          <w:szCs w:val="24"/>
          <w:lang/>
        </w:rPr>
        <w:drawing>
          <wp:inline distT="0" distB="0" distL="114300" distR="114300">
            <wp:extent cx="5480685" cy="3420745"/>
            <wp:effectExtent l="0" t="0" r="5715" b="8255"/>
            <wp:docPr id="1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480685" cy="3420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hAnsi="宋体"/>
          <w:sz w:val="24"/>
          <w:szCs w:val="24"/>
        </w:rPr>
      </w:pPr>
      <w:r>
        <w:rPr>
          <w:rFonts w:hint="eastAsia" w:hAnsi="宋体"/>
          <w:sz w:val="24"/>
          <w:szCs w:val="24"/>
        </w:rPr>
        <w:t>订单确认无误后，点击“支付”按钮，成功后再点击“支付完毕”按钮完成网上支付操作操作，如下图所示：</w:t>
      </w:r>
    </w:p>
    <w:p>
      <w:pPr>
        <w:spacing w:line="360" w:lineRule="auto"/>
        <w:rPr>
          <w:rFonts w:hint="eastAsia" w:hAnsi="宋体"/>
          <w:sz w:val="24"/>
          <w:szCs w:val="24"/>
        </w:rPr>
      </w:pPr>
      <w:r>
        <w:rPr>
          <w:rFonts w:hAnsi="宋体"/>
          <w:sz w:val="24"/>
          <w:szCs w:val="24"/>
          <w:lang/>
        </w:rPr>
        <w:drawing>
          <wp:inline distT="0" distB="0" distL="114300" distR="114300">
            <wp:extent cx="5488940" cy="3355975"/>
            <wp:effectExtent l="0" t="0" r="10160" b="9525"/>
            <wp:docPr id="1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488940" cy="3355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spacing w:line="360" w:lineRule="auto"/>
        <w:rPr>
          <w:rFonts w:hint="eastAsia" w:hAnsi="宋体" w:eastAsia="宋体"/>
          <w:sz w:val="24"/>
          <w:szCs w:val="24"/>
        </w:rPr>
      </w:pPr>
      <w:bookmarkStart w:id="17" w:name="_Toc427749133"/>
      <w:bookmarkStart w:id="18" w:name="_Toc508009190"/>
      <w:r>
        <w:rPr>
          <w:rFonts w:hint="eastAsia" w:hAnsi="宋体" w:eastAsia="宋体"/>
          <w:sz w:val="24"/>
          <w:szCs w:val="24"/>
        </w:rPr>
        <w:t>考生查询</w:t>
      </w:r>
      <w:bookmarkEnd w:id="17"/>
      <w:bookmarkEnd w:id="18"/>
    </w:p>
    <w:p>
      <w:pPr>
        <w:spacing w:line="360" w:lineRule="auto"/>
        <w:rPr>
          <w:rFonts w:hint="eastAsia" w:hAnsi="宋体"/>
          <w:sz w:val="24"/>
          <w:szCs w:val="24"/>
        </w:rPr>
      </w:pPr>
    </w:p>
    <w:p>
      <w:pPr>
        <w:pStyle w:val="5"/>
        <w:spacing w:line="360" w:lineRule="auto"/>
        <w:rPr>
          <w:rFonts w:hint="eastAsia" w:hAnsi="宋体" w:eastAsia="宋体"/>
          <w:sz w:val="24"/>
          <w:szCs w:val="24"/>
        </w:rPr>
      </w:pPr>
      <w:bookmarkStart w:id="19" w:name="_Toc427749134"/>
      <w:bookmarkStart w:id="20" w:name="_Toc508009191"/>
      <w:r>
        <w:rPr>
          <w:rFonts w:hint="eastAsia" w:hAnsi="宋体" w:eastAsia="宋体"/>
          <w:sz w:val="24"/>
          <w:szCs w:val="24"/>
        </w:rPr>
        <w:t>报名状态查看</w:t>
      </w:r>
      <w:bookmarkEnd w:id="19"/>
      <w:bookmarkEnd w:id="20"/>
    </w:p>
    <w:p>
      <w:pPr>
        <w:spacing w:line="360" w:lineRule="auto"/>
        <w:rPr>
          <w:rFonts w:hint="eastAsia" w:hAnsi="宋体"/>
          <w:sz w:val="24"/>
          <w:szCs w:val="24"/>
        </w:rPr>
      </w:pPr>
      <w:r>
        <w:rPr>
          <w:rFonts w:hint="eastAsia" w:hAnsi="宋体"/>
          <w:sz w:val="24"/>
          <w:szCs w:val="24"/>
        </w:rPr>
        <w:t>通过点击系统导航菜单的“查看报考状态”选项，可进入查看状态页面，如下图所示：</w:t>
      </w:r>
    </w:p>
    <w:p>
      <w:pPr>
        <w:spacing w:line="360" w:lineRule="auto"/>
        <w:rPr>
          <w:rFonts w:hAnsi="宋体"/>
          <w:sz w:val="24"/>
          <w:szCs w:val="24"/>
          <w:lang/>
        </w:rPr>
      </w:pPr>
      <w:r>
        <w:rPr>
          <w:rFonts w:hAnsi="宋体"/>
          <w:sz w:val="24"/>
          <w:szCs w:val="24"/>
          <w:lang/>
        </w:rPr>
        <w:drawing>
          <wp:inline distT="0" distB="0" distL="114300" distR="114300">
            <wp:extent cx="5488940" cy="3318510"/>
            <wp:effectExtent l="0" t="0" r="10160" b="8890"/>
            <wp:docPr id="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488940" cy="3318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spacing w:line="360" w:lineRule="auto"/>
        <w:rPr>
          <w:rFonts w:hint="eastAsia" w:hAnsi="宋体" w:eastAsia="宋体"/>
          <w:sz w:val="24"/>
          <w:szCs w:val="24"/>
        </w:rPr>
      </w:pPr>
      <w:bookmarkStart w:id="21" w:name="_Toc427749131"/>
      <w:bookmarkStart w:id="22" w:name="_Toc508009188"/>
      <w:r>
        <w:rPr>
          <w:rFonts w:hint="eastAsia" w:hAnsi="宋体" w:eastAsia="宋体"/>
          <w:sz w:val="24"/>
          <w:szCs w:val="24"/>
        </w:rPr>
        <w:t>打印信息表</w:t>
      </w:r>
      <w:bookmarkEnd w:id="21"/>
      <w:bookmarkEnd w:id="22"/>
    </w:p>
    <w:p>
      <w:pPr>
        <w:spacing w:line="360" w:lineRule="auto"/>
        <w:rPr>
          <w:rFonts w:hint="eastAsia" w:hAnsi="宋体"/>
          <w:sz w:val="24"/>
          <w:szCs w:val="24"/>
        </w:rPr>
      </w:pPr>
      <w:r>
        <w:rPr>
          <w:rFonts w:hint="eastAsia" w:hAnsi="宋体"/>
          <w:sz w:val="24"/>
          <w:szCs w:val="24"/>
        </w:rPr>
        <w:t>通过点击系统导航菜单的“下载报名表”选项，可以进入打印考生信息表页面（后台自定义的考生报名表）；打印信息表操作必须在考生确认报考信息之后才能操作，如果考生的报考信息还没有确认，此时点击“打印信息表”就会弹出请先确认报考信息的提示框，如下图所示：</w:t>
      </w:r>
    </w:p>
    <w:p>
      <w:pPr>
        <w:spacing w:line="360" w:lineRule="auto"/>
        <w:rPr>
          <w:rFonts w:hint="eastAsia" w:hAnsi="宋体"/>
          <w:sz w:val="24"/>
          <w:szCs w:val="24"/>
        </w:rPr>
      </w:pPr>
      <w:r>
        <w:rPr>
          <w:rFonts w:hAnsi="宋体"/>
          <w:sz w:val="24"/>
          <w:szCs w:val="24"/>
          <w:lang/>
        </w:rPr>
        <w:drawing>
          <wp:inline distT="0" distB="0" distL="114300" distR="114300">
            <wp:extent cx="5481955" cy="3314700"/>
            <wp:effectExtent l="0" t="0" r="4445" b="0"/>
            <wp:docPr id="2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481955" cy="331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hAnsi="宋体"/>
          <w:sz w:val="24"/>
          <w:szCs w:val="24"/>
        </w:rPr>
      </w:pPr>
      <w:r>
        <w:rPr>
          <w:rFonts w:hint="eastAsia" w:hAnsi="宋体"/>
          <w:sz w:val="24"/>
          <w:szCs w:val="24"/>
        </w:rPr>
        <w:t>报考信息确认之后，可进入考生报名表打印页面，如下图所示：</w:t>
      </w:r>
    </w:p>
    <w:p>
      <w:pPr>
        <w:spacing w:line="360" w:lineRule="auto"/>
        <w:rPr>
          <w:rFonts w:hint="eastAsia" w:hAnsi="宋体"/>
          <w:sz w:val="24"/>
          <w:szCs w:val="24"/>
        </w:rPr>
      </w:pPr>
      <w:r>
        <w:rPr>
          <w:rFonts w:hAnsi="宋体"/>
          <w:sz w:val="24"/>
          <w:szCs w:val="24"/>
          <w:lang/>
        </w:rPr>
        <w:drawing>
          <wp:inline distT="0" distB="0" distL="114300" distR="114300">
            <wp:extent cx="5490845" cy="3329940"/>
            <wp:effectExtent l="0" t="0" r="8255" b="10160"/>
            <wp:docPr id="2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490845" cy="3329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hAnsi="宋体"/>
          <w:sz w:val="24"/>
          <w:szCs w:val="24"/>
        </w:rPr>
      </w:pPr>
      <w:r>
        <w:rPr>
          <w:rFonts w:hint="eastAsia" w:hAnsi="宋体"/>
          <w:sz w:val="24"/>
          <w:szCs w:val="24"/>
        </w:rPr>
        <w:t>点击“下载报名表”就可以进行报名表的打印。</w:t>
      </w:r>
    </w:p>
    <w:p>
      <w:pPr>
        <w:spacing w:line="360" w:lineRule="auto"/>
        <w:rPr>
          <w:rFonts w:hint="eastAsia" w:hAnsi="宋体"/>
          <w:sz w:val="24"/>
          <w:szCs w:val="24"/>
        </w:rPr>
      </w:pPr>
    </w:p>
    <w:p>
      <w:pPr>
        <w:pStyle w:val="5"/>
        <w:spacing w:line="360" w:lineRule="auto"/>
        <w:rPr>
          <w:rFonts w:hint="eastAsia" w:hAnsi="宋体" w:eastAsia="宋体"/>
          <w:sz w:val="24"/>
          <w:szCs w:val="24"/>
        </w:rPr>
      </w:pPr>
      <w:bookmarkStart w:id="23" w:name="_Toc427749135"/>
      <w:bookmarkStart w:id="24" w:name="_Toc508009192"/>
      <w:r>
        <w:rPr>
          <w:rFonts w:hint="eastAsia" w:hAnsi="宋体" w:eastAsia="宋体"/>
          <w:sz w:val="24"/>
          <w:szCs w:val="24"/>
        </w:rPr>
        <w:t>准考证打印</w:t>
      </w:r>
      <w:bookmarkEnd w:id="23"/>
      <w:bookmarkEnd w:id="24"/>
    </w:p>
    <w:p>
      <w:pPr>
        <w:spacing w:line="360" w:lineRule="auto"/>
        <w:rPr>
          <w:rFonts w:hint="eastAsia" w:hAnsi="宋体"/>
          <w:sz w:val="24"/>
          <w:szCs w:val="24"/>
        </w:rPr>
      </w:pPr>
      <w:r>
        <w:rPr>
          <w:rFonts w:hint="eastAsia" w:hAnsi="宋体"/>
          <w:sz w:val="24"/>
          <w:szCs w:val="24"/>
        </w:rPr>
        <w:t>通过点击系统导航菜单的“打印准考证”选项，可进入准考证打印页面，如下图所示：</w:t>
      </w:r>
    </w:p>
    <w:p>
      <w:pPr>
        <w:spacing w:line="360" w:lineRule="auto"/>
        <w:rPr>
          <w:rFonts w:hint="eastAsia" w:hAnsi="宋体"/>
          <w:sz w:val="24"/>
          <w:szCs w:val="24"/>
          <w:lang/>
        </w:rPr>
      </w:pPr>
      <w:r>
        <w:rPr>
          <w:lang/>
        </w:rPr>
        <w:drawing>
          <wp:inline distT="0" distB="0" distL="114300" distR="114300">
            <wp:extent cx="5441315" cy="3337560"/>
            <wp:effectExtent l="0" t="0" r="6985" b="2540"/>
            <wp:docPr id="2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1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441315" cy="3337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hAnsi="宋体"/>
          <w:sz w:val="24"/>
          <w:szCs w:val="24"/>
          <w:lang/>
        </w:rPr>
      </w:pPr>
      <w:r>
        <w:rPr>
          <w:lang/>
        </w:rPr>
        <w:drawing>
          <wp:inline distT="0" distB="0" distL="114300" distR="114300">
            <wp:extent cx="5349875" cy="3268980"/>
            <wp:effectExtent l="0" t="0" r="9525" b="7620"/>
            <wp:docPr id="2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1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349875" cy="3268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hAnsi="宋体"/>
          <w:sz w:val="24"/>
          <w:szCs w:val="24"/>
        </w:rPr>
      </w:pPr>
      <w:r>
        <w:rPr>
          <w:rFonts w:hint="eastAsia" w:hAnsi="宋体"/>
          <w:sz w:val="24"/>
          <w:szCs w:val="24"/>
          <w:lang/>
        </w:rPr>
        <w:t>因为当前时间未编场，所以无准考证号、考场、座号信息。</w:t>
      </w:r>
    </w:p>
    <w:p>
      <w:pPr>
        <w:pStyle w:val="4"/>
        <w:spacing w:line="360" w:lineRule="auto"/>
        <w:rPr>
          <w:rFonts w:hint="eastAsia" w:hAnsi="宋体" w:eastAsia="宋体"/>
          <w:sz w:val="24"/>
          <w:szCs w:val="24"/>
        </w:rPr>
      </w:pPr>
      <w:bookmarkStart w:id="25" w:name="_Toc427749138"/>
      <w:bookmarkStart w:id="26" w:name="_Toc508009195"/>
      <w:r>
        <w:rPr>
          <w:rFonts w:hint="eastAsia" w:hAnsi="宋体" w:eastAsia="宋体"/>
          <w:sz w:val="24"/>
          <w:szCs w:val="24"/>
        </w:rPr>
        <w:t>系统设置</w:t>
      </w:r>
      <w:bookmarkEnd w:id="25"/>
      <w:bookmarkEnd w:id="26"/>
    </w:p>
    <w:p>
      <w:pPr>
        <w:pStyle w:val="5"/>
        <w:spacing w:line="360" w:lineRule="auto"/>
        <w:rPr>
          <w:rFonts w:hint="eastAsia" w:hAnsi="宋体" w:eastAsia="宋体"/>
          <w:sz w:val="24"/>
          <w:szCs w:val="24"/>
        </w:rPr>
      </w:pPr>
      <w:bookmarkStart w:id="27" w:name="_Toc427749139"/>
      <w:bookmarkStart w:id="28" w:name="_Toc508009196"/>
      <w:r>
        <w:rPr>
          <w:rFonts w:hint="eastAsia" w:hAnsi="宋体" w:eastAsia="宋体"/>
          <w:sz w:val="24"/>
          <w:szCs w:val="24"/>
        </w:rPr>
        <w:t>修改密码</w:t>
      </w:r>
      <w:bookmarkEnd w:id="27"/>
      <w:bookmarkEnd w:id="28"/>
    </w:p>
    <w:p>
      <w:pPr>
        <w:spacing w:line="360" w:lineRule="auto"/>
        <w:rPr>
          <w:rFonts w:hint="eastAsia" w:hAnsi="宋体"/>
          <w:sz w:val="24"/>
          <w:szCs w:val="24"/>
        </w:rPr>
      </w:pPr>
      <w:r>
        <w:rPr>
          <w:rFonts w:hint="eastAsia" w:hAnsi="宋体"/>
          <w:sz w:val="24"/>
          <w:szCs w:val="24"/>
        </w:rPr>
        <w:t>通过点击系统右上角的“修改密码”选项，如下图所示：</w:t>
      </w:r>
    </w:p>
    <w:p>
      <w:pPr>
        <w:spacing w:line="360" w:lineRule="auto"/>
        <w:rPr>
          <w:rFonts w:hint="eastAsia" w:hAnsi="宋体"/>
          <w:sz w:val="24"/>
          <w:szCs w:val="24"/>
        </w:rPr>
      </w:pPr>
      <w:r>
        <w:rPr>
          <w:rFonts w:hAnsi="宋体"/>
          <w:sz w:val="24"/>
          <w:szCs w:val="24"/>
          <w:lang/>
        </w:rPr>
        <w:drawing>
          <wp:inline distT="0" distB="0" distL="114300" distR="114300">
            <wp:extent cx="5483225" cy="3310890"/>
            <wp:effectExtent l="0" t="0" r="3175" b="3810"/>
            <wp:docPr id="2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1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483225" cy="3310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hAnsi="宋体"/>
          <w:sz w:val="24"/>
          <w:szCs w:val="24"/>
        </w:rPr>
      </w:pPr>
      <w:r>
        <w:rPr>
          <w:rFonts w:hint="eastAsia" w:hAnsi="宋体"/>
          <w:sz w:val="24"/>
          <w:szCs w:val="24"/>
        </w:rPr>
        <w:t>可跳转到修改密码页面，如下图所示：</w:t>
      </w:r>
    </w:p>
    <w:p>
      <w:pPr>
        <w:spacing w:line="360" w:lineRule="auto"/>
        <w:rPr>
          <w:rFonts w:hint="eastAsia" w:hAnsi="宋体"/>
          <w:sz w:val="24"/>
          <w:szCs w:val="24"/>
        </w:rPr>
      </w:pPr>
      <w:r>
        <w:rPr>
          <w:rFonts w:hAnsi="宋体"/>
          <w:sz w:val="24"/>
          <w:szCs w:val="24"/>
          <w:lang/>
        </w:rPr>
        <w:drawing>
          <wp:inline distT="0" distB="0" distL="114300" distR="114300">
            <wp:extent cx="5489575" cy="3327400"/>
            <wp:effectExtent l="0" t="0" r="9525" b="0"/>
            <wp:docPr id="2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1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489575" cy="332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hAnsi="宋体"/>
          <w:sz w:val="24"/>
          <w:szCs w:val="24"/>
        </w:rPr>
      </w:pPr>
      <w:r>
        <w:rPr>
          <w:rFonts w:hint="eastAsia" w:hAnsi="宋体"/>
          <w:sz w:val="24"/>
          <w:szCs w:val="24"/>
        </w:rPr>
        <w:t>在该界面可以对考生的登录密码进行修改。</w:t>
      </w:r>
    </w:p>
    <w:p>
      <w:pPr>
        <w:pStyle w:val="5"/>
        <w:spacing w:line="360" w:lineRule="auto"/>
        <w:rPr>
          <w:rFonts w:hint="eastAsia" w:hAnsi="宋体" w:eastAsia="宋体"/>
          <w:sz w:val="24"/>
          <w:szCs w:val="24"/>
        </w:rPr>
      </w:pPr>
      <w:bookmarkStart w:id="29" w:name="_Toc427749140"/>
      <w:bookmarkStart w:id="30" w:name="_Toc508009197"/>
      <w:r>
        <w:rPr>
          <w:rFonts w:hint="eastAsia" w:hAnsi="宋体" w:eastAsia="宋体"/>
          <w:sz w:val="24"/>
          <w:szCs w:val="24"/>
        </w:rPr>
        <w:t>安全退出</w:t>
      </w:r>
      <w:bookmarkEnd w:id="29"/>
      <w:bookmarkEnd w:id="30"/>
    </w:p>
    <w:p>
      <w:pPr>
        <w:spacing w:line="360" w:lineRule="auto"/>
        <w:rPr>
          <w:rFonts w:hint="eastAsia" w:hAnsi="宋体"/>
          <w:sz w:val="24"/>
          <w:szCs w:val="24"/>
        </w:rPr>
      </w:pPr>
      <w:r>
        <w:rPr>
          <w:rFonts w:hint="eastAsia" w:hAnsi="宋体"/>
          <w:sz w:val="24"/>
          <w:szCs w:val="24"/>
        </w:rPr>
        <w:t>通过点击系统右上角的“安全退出”按钮，如下图所示：</w:t>
      </w:r>
    </w:p>
    <w:p>
      <w:pPr>
        <w:spacing w:line="360" w:lineRule="auto"/>
        <w:rPr>
          <w:rFonts w:hint="eastAsia" w:hAnsi="宋体"/>
          <w:sz w:val="24"/>
          <w:szCs w:val="24"/>
        </w:rPr>
      </w:pPr>
      <w:r>
        <w:rPr>
          <w:rFonts w:hAnsi="宋体"/>
          <w:sz w:val="24"/>
          <w:szCs w:val="24"/>
          <w:lang/>
        </w:rPr>
        <w:drawing>
          <wp:inline distT="0" distB="0" distL="114300" distR="114300">
            <wp:extent cx="5488305" cy="3286125"/>
            <wp:effectExtent l="0" t="0" r="10795" b="3175"/>
            <wp:docPr id="2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1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488305" cy="3286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hAnsi="宋体"/>
          <w:sz w:val="24"/>
          <w:szCs w:val="24"/>
        </w:rPr>
      </w:pPr>
    </w:p>
    <w:p>
      <w:pPr>
        <w:spacing w:line="360" w:lineRule="auto"/>
        <w:rPr>
          <w:rFonts w:hint="eastAsia" w:hAnsi="宋体"/>
          <w:sz w:val="24"/>
          <w:szCs w:val="24"/>
        </w:rPr>
      </w:pPr>
      <w:r>
        <w:rPr>
          <w:rFonts w:hint="eastAsia" w:hAnsi="宋体"/>
          <w:sz w:val="24"/>
          <w:szCs w:val="24"/>
        </w:rPr>
        <w:t>可以安全的退出系统。</w:t>
      </w:r>
      <w:bookmarkEnd w:id="5"/>
      <w:bookmarkEnd w:id="6"/>
    </w:p>
    <w:sectPr>
      <w:headerReference r:id="rId3" w:type="default"/>
      <w:footerReference r:id="rId4" w:type="default"/>
      <w:endnotePr>
        <w:numFmt w:val="decimal"/>
      </w:endnotePr>
      <w:pgSz w:w="12240" w:h="15840"/>
      <w:pgMar w:top="1440" w:right="1440" w:bottom="1440" w:left="144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2"/>
      <w:jc w:val="center"/>
    </w:pPr>
    <w:r>
      <w:rPr>
        <w:rFonts w:hint="eastAsia"/>
      </w:rPr>
      <w:t xml:space="preserve">第 </w:t>
    </w:r>
    <w:r>
      <w:fldChar w:fldCharType="begin"/>
    </w:r>
    <w:r>
      <w:instrText xml:space="preserve"> PAGE </w:instrText>
    </w:r>
    <w:r>
      <w:fldChar w:fldCharType="separate"/>
    </w:r>
    <w:r>
      <w:rPr>
        <w:lang/>
      </w:rPr>
      <w:t>14</w:t>
    </w:r>
    <w:r>
      <w:fldChar w:fldCharType="end"/>
    </w:r>
    <w:r>
      <w:rPr>
        <w:rFonts w:hint="eastAsia"/>
      </w:rPr>
      <w:t xml:space="preserve"> 页 共 </w:t>
    </w:r>
    <w:r>
      <w:fldChar w:fldCharType="begin"/>
    </w:r>
    <w:r>
      <w:instrText xml:space="preserve"> NUMPAGES </w:instrText>
    </w:r>
    <w:r>
      <w:fldChar w:fldCharType="separate"/>
    </w:r>
    <w:r>
      <w:rPr>
        <w:lang/>
      </w:rPr>
      <w:t>15</w:t>
    </w:r>
    <w:r>
      <w:fldChar w:fldCharType="end"/>
    </w:r>
    <w:r>
      <w:rPr>
        <w:rFonts w:hint="eastAsia"/>
      </w:rPr>
      <w:t xml:space="preserve"> 页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3"/>
    </w:pPr>
    <w:r>
      <w:rPr>
        <w:rFonts w:hint="eastAsia"/>
      </w:rPr>
      <w:t xml:space="preserve">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8"/>
    <w:multiLevelType w:val="multilevel"/>
    <w:tmpl w:val="00000018"/>
    <w:lvl w:ilvl="0" w:tentative="0">
      <w:start w:val="1"/>
      <w:numFmt w:val="decimal"/>
      <w:pStyle w:val="2"/>
      <w:lvlText w:val="%1.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lvlText w:val="%1.%2"/>
      <w:lvlJc w:val="left"/>
      <w:pPr>
        <w:ind w:left="284" w:firstLine="0"/>
      </w:pPr>
      <w:rPr>
        <w:rFonts w:hint="eastAsia"/>
        <w:b/>
        <w:sz w:val="24"/>
      </w:rPr>
    </w:lvl>
    <w:lvl w:ilvl="2" w:tentative="0">
      <w:start w:val="1"/>
      <w:numFmt w:val="decimal"/>
      <w:pStyle w:val="4"/>
      <w:lvlText w:val="%1.%2.%3"/>
      <w:lvlJc w:val="left"/>
      <w:pPr>
        <w:ind w:left="0" w:firstLine="0"/>
      </w:pPr>
      <w:rPr>
        <w:rFonts w:hint="eastAsia"/>
        <w:b/>
        <w:i w:val="0"/>
      </w:rPr>
    </w:lvl>
    <w:lvl w:ilvl="3" w:tentative="0">
      <w:start w:val="1"/>
      <w:numFmt w:val="decimal"/>
      <w:pStyle w:val="5"/>
      <w:lvlText w:val="%1.%2.%3.%4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pStyle w:val="6"/>
      <w:lvlText w:val="%1.%2.%3.%4.%5"/>
      <w:lvlJc w:val="left"/>
      <w:pPr>
        <w:ind w:left="0" w:firstLine="0"/>
      </w:pPr>
      <w:rPr>
        <w:rFonts w:hint="eastAsia"/>
      </w:rPr>
    </w:lvl>
    <w:lvl w:ilvl="5" w:tentative="0">
      <w:start w:val="1"/>
      <w:numFmt w:val="decimal"/>
      <w:pStyle w:val="7"/>
      <w:lvlText w:val="%1.%2.%3.%4.%5.%6"/>
      <w:lvlJc w:val="left"/>
      <w:pPr>
        <w:ind w:left="0" w:firstLine="0"/>
      </w:pPr>
      <w:rPr>
        <w:rFonts w:hint="eastAsia"/>
      </w:rPr>
    </w:lvl>
    <w:lvl w:ilvl="6" w:tentative="0">
      <w:start w:val="1"/>
      <w:numFmt w:val="decimal"/>
      <w:pStyle w:val="8"/>
      <w:lvlText w:val="%1.%2.%3.%4.%5.%6.%7"/>
      <w:lvlJc w:val="left"/>
      <w:pPr>
        <w:ind w:left="0" w:firstLine="0"/>
      </w:pPr>
      <w:rPr>
        <w:rFonts w:hint="eastAsia"/>
      </w:rPr>
    </w:lvl>
    <w:lvl w:ilvl="7" w:tentative="0">
      <w:start w:val="1"/>
      <w:numFmt w:val="decimal"/>
      <w:pStyle w:val="9"/>
      <w:lvlText w:val="%1.%2.%3.%4.%5.%6.%7.%8"/>
      <w:lvlJc w:val="left"/>
      <w:pPr>
        <w:ind w:left="0" w:firstLine="0"/>
      </w:pPr>
      <w:rPr>
        <w:rFonts w:hint="eastAsia"/>
      </w:rPr>
    </w:lvl>
    <w:lvl w:ilvl="8" w:tentative="0">
      <w:start w:val="1"/>
      <w:numFmt w:val="decimal"/>
      <w:pStyle w:val="10"/>
      <w:lvlText w:val="%1.%2.%3.%4.%5.%6.%7.%8.%9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720"/>
  <w:hyphenationZone w:val="360"/>
  <w:drawingGridHorizontalSpacing w:val="0"/>
  <w:displayHorizontalDrawingGridEvery w:val="0"/>
  <w:displayVerticalDrawingGridEvery w:val="0"/>
  <w:doNotShadeFormData w:val="1"/>
  <w:characterSpacingControl w:val="doNotCompress"/>
  <w:doNotValidateAgainstSchema/>
  <w:doNotDemarcateInvalidXml/>
  <w:endnotePr>
    <w:numFmt w:val="decimal"/>
  </w:endnotePr>
  <w:compat>
    <w:spaceForUL/>
    <w:doNotLeaveBackslashAlon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1684"/>
    <w:rsid w:val="00011CFE"/>
    <w:rsid w:val="00011EA3"/>
    <w:rsid w:val="00012B88"/>
    <w:rsid w:val="00026B17"/>
    <w:rsid w:val="00031FA3"/>
    <w:rsid w:val="00037CF7"/>
    <w:rsid w:val="000425FA"/>
    <w:rsid w:val="00046D8E"/>
    <w:rsid w:val="0005044E"/>
    <w:rsid w:val="00053BBA"/>
    <w:rsid w:val="00062697"/>
    <w:rsid w:val="00067B46"/>
    <w:rsid w:val="000715C0"/>
    <w:rsid w:val="00077085"/>
    <w:rsid w:val="0008224F"/>
    <w:rsid w:val="00086BBB"/>
    <w:rsid w:val="000958F5"/>
    <w:rsid w:val="000A2A18"/>
    <w:rsid w:val="000A4235"/>
    <w:rsid w:val="000B27C7"/>
    <w:rsid w:val="000B46B6"/>
    <w:rsid w:val="000D56AA"/>
    <w:rsid w:val="000D5F24"/>
    <w:rsid w:val="000E0645"/>
    <w:rsid w:val="000E5600"/>
    <w:rsid w:val="000F5271"/>
    <w:rsid w:val="000F5DFA"/>
    <w:rsid w:val="001049B1"/>
    <w:rsid w:val="00113E53"/>
    <w:rsid w:val="00121E65"/>
    <w:rsid w:val="0012224A"/>
    <w:rsid w:val="00122A90"/>
    <w:rsid w:val="00130441"/>
    <w:rsid w:val="00136360"/>
    <w:rsid w:val="00146EFB"/>
    <w:rsid w:val="00153E4D"/>
    <w:rsid w:val="00156853"/>
    <w:rsid w:val="00160A27"/>
    <w:rsid w:val="00165A4E"/>
    <w:rsid w:val="0016656C"/>
    <w:rsid w:val="00175D3A"/>
    <w:rsid w:val="0017626E"/>
    <w:rsid w:val="00187FCB"/>
    <w:rsid w:val="001A6C5F"/>
    <w:rsid w:val="001A75A8"/>
    <w:rsid w:val="001B593C"/>
    <w:rsid w:val="001C0C8E"/>
    <w:rsid w:val="001D00D7"/>
    <w:rsid w:val="001E2928"/>
    <w:rsid w:val="001E5931"/>
    <w:rsid w:val="001F2F1E"/>
    <w:rsid w:val="001F3111"/>
    <w:rsid w:val="00203B34"/>
    <w:rsid w:val="0021416B"/>
    <w:rsid w:val="00215B43"/>
    <w:rsid w:val="00222D02"/>
    <w:rsid w:val="002230F1"/>
    <w:rsid w:val="002354CA"/>
    <w:rsid w:val="00235FD6"/>
    <w:rsid w:val="0024566F"/>
    <w:rsid w:val="002508BA"/>
    <w:rsid w:val="002517D5"/>
    <w:rsid w:val="00254123"/>
    <w:rsid w:val="0026073C"/>
    <w:rsid w:val="0026224A"/>
    <w:rsid w:val="00262A8E"/>
    <w:rsid w:val="00265F2D"/>
    <w:rsid w:val="00274F01"/>
    <w:rsid w:val="0027543F"/>
    <w:rsid w:val="00293494"/>
    <w:rsid w:val="00294F7E"/>
    <w:rsid w:val="002C1C3C"/>
    <w:rsid w:val="002C3189"/>
    <w:rsid w:val="002C5859"/>
    <w:rsid w:val="002E10E0"/>
    <w:rsid w:val="002F7C09"/>
    <w:rsid w:val="0030087B"/>
    <w:rsid w:val="003119D4"/>
    <w:rsid w:val="00322D2C"/>
    <w:rsid w:val="003241FD"/>
    <w:rsid w:val="00332AE2"/>
    <w:rsid w:val="003414B3"/>
    <w:rsid w:val="00345240"/>
    <w:rsid w:val="00345CA1"/>
    <w:rsid w:val="003518AE"/>
    <w:rsid w:val="00357CFC"/>
    <w:rsid w:val="003614D7"/>
    <w:rsid w:val="00362080"/>
    <w:rsid w:val="003650A9"/>
    <w:rsid w:val="0037082A"/>
    <w:rsid w:val="00374F18"/>
    <w:rsid w:val="003861CD"/>
    <w:rsid w:val="00390879"/>
    <w:rsid w:val="003919EB"/>
    <w:rsid w:val="00394E1C"/>
    <w:rsid w:val="003A2AB6"/>
    <w:rsid w:val="003A58D6"/>
    <w:rsid w:val="003A5ED7"/>
    <w:rsid w:val="003B64C8"/>
    <w:rsid w:val="003C4A8B"/>
    <w:rsid w:val="003C5B52"/>
    <w:rsid w:val="003E7162"/>
    <w:rsid w:val="003F470F"/>
    <w:rsid w:val="004065D8"/>
    <w:rsid w:val="00406BE6"/>
    <w:rsid w:val="004131D5"/>
    <w:rsid w:val="00415CF4"/>
    <w:rsid w:val="00420729"/>
    <w:rsid w:val="00422703"/>
    <w:rsid w:val="00422D65"/>
    <w:rsid w:val="004308FB"/>
    <w:rsid w:val="004311AE"/>
    <w:rsid w:val="00441171"/>
    <w:rsid w:val="004415DE"/>
    <w:rsid w:val="00441CDD"/>
    <w:rsid w:val="004442D3"/>
    <w:rsid w:val="0044451F"/>
    <w:rsid w:val="00446B12"/>
    <w:rsid w:val="0044767F"/>
    <w:rsid w:val="00450170"/>
    <w:rsid w:val="00454407"/>
    <w:rsid w:val="00456E65"/>
    <w:rsid w:val="004574BF"/>
    <w:rsid w:val="0046057B"/>
    <w:rsid w:val="004655E1"/>
    <w:rsid w:val="00466271"/>
    <w:rsid w:val="0047175B"/>
    <w:rsid w:val="00473BF9"/>
    <w:rsid w:val="00474B76"/>
    <w:rsid w:val="004857B1"/>
    <w:rsid w:val="0049137F"/>
    <w:rsid w:val="004A11F5"/>
    <w:rsid w:val="004A31F4"/>
    <w:rsid w:val="004B0EFB"/>
    <w:rsid w:val="004B4A76"/>
    <w:rsid w:val="004B6490"/>
    <w:rsid w:val="004C39C7"/>
    <w:rsid w:val="004D2E59"/>
    <w:rsid w:val="004E06FB"/>
    <w:rsid w:val="004E130B"/>
    <w:rsid w:val="004E2C82"/>
    <w:rsid w:val="004E55F7"/>
    <w:rsid w:val="004E64E9"/>
    <w:rsid w:val="004E71B9"/>
    <w:rsid w:val="004F21DF"/>
    <w:rsid w:val="004F4CC5"/>
    <w:rsid w:val="0050620A"/>
    <w:rsid w:val="0051459C"/>
    <w:rsid w:val="00520423"/>
    <w:rsid w:val="00521C65"/>
    <w:rsid w:val="00534E18"/>
    <w:rsid w:val="00537828"/>
    <w:rsid w:val="0054049D"/>
    <w:rsid w:val="00546B89"/>
    <w:rsid w:val="0055738F"/>
    <w:rsid w:val="00557CE4"/>
    <w:rsid w:val="005665FF"/>
    <w:rsid w:val="00572305"/>
    <w:rsid w:val="005861AD"/>
    <w:rsid w:val="00590AA6"/>
    <w:rsid w:val="005B01EC"/>
    <w:rsid w:val="005B5B19"/>
    <w:rsid w:val="005B746A"/>
    <w:rsid w:val="005C4AE2"/>
    <w:rsid w:val="005C4CD7"/>
    <w:rsid w:val="005C596C"/>
    <w:rsid w:val="005D6D51"/>
    <w:rsid w:val="005E460E"/>
    <w:rsid w:val="005F3656"/>
    <w:rsid w:val="005F4138"/>
    <w:rsid w:val="00605A95"/>
    <w:rsid w:val="006100F3"/>
    <w:rsid w:val="0062071C"/>
    <w:rsid w:val="00623BEE"/>
    <w:rsid w:val="00637E14"/>
    <w:rsid w:val="006410A7"/>
    <w:rsid w:val="006414AE"/>
    <w:rsid w:val="00652CAD"/>
    <w:rsid w:val="00664022"/>
    <w:rsid w:val="00667E70"/>
    <w:rsid w:val="00684A46"/>
    <w:rsid w:val="0069152B"/>
    <w:rsid w:val="00694AE3"/>
    <w:rsid w:val="00695A17"/>
    <w:rsid w:val="006B7D52"/>
    <w:rsid w:val="006D18E1"/>
    <w:rsid w:val="006E6787"/>
    <w:rsid w:val="006F4435"/>
    <w:rsid w:val="006F5EB3"/>
    <w:rsid w:val="00707D60"/>
    <w:rsid w:val="007101B0"/>
    <w:rsid w:val="007120F4"/>
    <w:rsid w:val="00713D72"/>
    <w:rsid w:val="00714FA8"/>
    <w:rsid w:val="007151F9"/>
    <w:rsid w:val="00723EC1"/>
    <w:rsid w:val="00727FEC"/>
    <w:rsid w:val="007313D7"/>
    <w:rsid w:val="00733AC7"/>
    <w:rsid w:val="007353AD"/>
    <w:rsid w:val="00736510"/>
    <w:rsid w:val="00740ED2"/>
    <w:rsid w:val="0075044D"/>
    <w:rsid w:val="00753E31"/>
    <w:rsid w:val="0075593D"/>
    <w:rsid w:val="007638AC"/>
    <w:rsid w:val="007838C2"/>
    <w:rsid w:val="007943A5"/>
    <w:rsid w:val="00797E0B"/>
    <w:rsid w:val="007A05C0"/>
    <w:rsid w:val="007A2D63"/>
    <w:rsid w:val="007A592A"/>
    <w:rsid w:val="007A627E"/>
    <w:rsid w:val="007A68B8"/>
    <w:rsid w:val="007C4DCC"/>
    <w:rsid w:val="007C52F5"/>
    <w:rsid w:val="007C5C26"/>
    <w:rsid w:val="007D1B75"/>
    <w:rsid w:val="007E3FFC"/>
    <w:rsid w:val="007E4CC1"/>
    <w:rsid w:val="007E4FEA"/>
    <w:rsid w:val="007E51B2"/>
    <w:rsid w:val="007E58CA"/>
    <w:rsid w:val="007E6E7E"/>
    <w:rsid w:val="007F242E"/>
    <w:rsid w:val="007F6ABF"/>
    <w:rsid w:val="007F6D2C"/>
    <w:rsid w:val="00801E16"/>
    <w:rsid w:val="008070E0"/>
    <w:rsid w:val="00807C48"/>
    <w:rsid w:val="00812346"/>
    <w:rsid w:val="00812509"/>
    <w:rsid w:val="00816192"/>
    <w:rsid w:val="00825C85"/>
    <w:rsid w:val="00831562"/>
    <w:rsid w:val="00831E60"/>
    <w:rsid w:val="0083589F"/>
    <w:rsid w:val="00845143"/>
    <w:rsid w:val="00847629"/>
    <w:rsid w:val="0085364F"/>
    <w:rsid w:val="00856BC6"/>
    <w:rsid w:val="00863137"/>
    <w:rsid w:val="008653EA"/>
    <w:rsid w:val="00867111"/>
    <w:rsid w:val="0088037F"/>
    <w:rsid w:val="0088318F"/>
    <w:rsid w:val="00883CDE"/>
    <w:rsid w:val="008927BC"/>
    <w:rsid w:val="00894869"/>
    <w:rsid w:val="008A0FBA"/>
    <w:rsid w:val="008A3C30"/>
    <w:rsid w:val="008B2A0C"/>
    <w:rsid w:val="008B5EEC"/>
    <w:rsid w:val="008D3CE6"/>
    <w:rsid w:val="008D5AF5"/>
    <w:rsid w:val="008D7616"/>
    <w:rsid w:val="008D76AB"/>
    <w:rsid w:val="008E5557"/>
    <w:rsid w:val="008E595D"/>
    <w:rsid w:val="008E7AA0"/>
    <w:rsid w:val="008F567B"/>
    <w:rsid w:val="008F5849"/>
    <w:rsid w:val="008F7E9D"/>
    <w:rsid w:val="00900174"/>
    <w:rsid w:val="009012BD"/>
    <w:rsid w:val="00901C68"/>
    <w:rsid w:val="00902B6D"/>
    <w:rsid w:val="00903B4B"/>
    <w:rsid w:val="00907EC7"/>
    <w:rsid w:val="00913C39"/>
    <w:rsid w:val="00915390"/>
    <w:rsid w:val="0092358E"/>
    <w:rsid w:val="00923ADB"/>
    <w:rsid w:val="00926974"/>
    <w:rsid w:val="0094143B"/>
    <w:rsid w:val="009504D0"/>
    <w:rsid w:val="00950D5E"/>
    <w:rsid w:val="009514A9"/>
    <w:rsid w:val="00954E25"/>
    <w:rsid w:val="00954F80"/>
    <w:rsid w:val="00956DA0"/>
    <w:rsid w:val="009633A9"/>
    <w:rsid w:val="00967D58"/>
    <w:rsid w:val="00971D8A"/>
    <w:rsid w:val="009737DE"/>
    <w:rsid w:val="009754A2"/>
    <w:rsid w:val="009802D7"/>
    <w:rsid w:val="00984C5B"/>
    <w:rsid w:val="00984D18"/>
    <w:rsid w:val="009853C6"/>
    <w:rsid w:val="00986FD6"/>
    <w:rsid w:val="009961DF"/>
    <w:rsid w:val="009A1B37"/>
    <w:rsid w:val="009A579C"/>
    <w:rsid w:val="009A5B1C"/>
    <w:rsid w:val="009A6ADB"/>
    <w:rsid w:val="009B0643"/>
    <w:rsid w:val="009B562B"/>
    <w:rsid w:val="009C3755"/>
    <w:rsid w:val="009C4FB7"/>
    <w:rsid w:val="009C6C5E"/>
    <w:rsid w:val="009C7732"/>
    <w:rsid w:val="009D061C"/>
    <w:rsid w:val="009D306F"/>
    <w:rsid w:val="009E57F5"/>
    <w:rsid w:val="009F0F5C"/>
    <w:rsid w:val="009F14B5"/>
    <w:rsid w:val="00A00840"/>
    <w:rsid w:val="00A00A6B"/>
    <w:rsid w:val="00A16BC5"/>
    <w:rsid w:val="00A378BD"/>
    <w:rsid w:val="00A50328"/>
    <w:rsid w:val="00A511B9"/>
    <w:rsid w:val="00A51E32"/>
    <w:rsid w:val="00A61559"/>
    <w:rsid w:val="00A640EF"/>
    <w:rsid w:val="00A8035D"/>
    <w:rsid w:val="00A8199A"/>
    <w:rsid w:val="00A91B9E"/>
    <w:rsid w:val="00A9572C"/>
    <w:rsid w:val="00A9762B"/>
    <w:rsid w:val="00AA1D96"/>
    <w:rsid w:val="00AA4028"/>
    <w:rsid w:val="00AA7F1F"/>
    <w:rsid w:val="00AB0725"/>
    <w:rsid w:val="00AB1FCC"/>
    <w:rsid w:val="00AB4E0C"/>
    <w:rsid w:val="00AB7024"/>
    <w:rsid w:val="00AC08FB"/>
    <w:rsid w:val="00AD392B"/>
    <w:rsid w:val="00AD4F06"/>
    <w:rsid w:val="00AD5314"/>
    <w:rsid w:val="00AE31F3"/>
    <w:rsid w:val="00AE6E84"/>
    <w:rsid w:val="00AF4771"/>
    <w:rsid w:val="00B0645C"/>
    <w:rsid w:val="00B116DA"/>
    <w:rsid w:val="00B17A22"/>
    <w:rsid w:val="00B17B98"/>
    <w:rsid w:val="00B20117"/>
    <w:rsid w:val="00B328DE"/>
    <w:rsid w:val="00B530BF"/>
    <w:rsid w:val="00B54C27"/>
    <w:rsid w:val="00B577A2"/>
    <w:rsid w:val="00B649CB"/>
    <w:rsid w:val="00B6681B"/>
    <w:rsid w:val="00B930E4"/>
    <w:rsid w:val="00B95B4C"/>
    <w:rsid w:val="00BA208F"/>
    <w:rsid w:val="00BB14C4"/>
    <w:rsid w:val="00BB4131"/>
    <w:rsid w:val="00BB4F07"/>
    <w:rsid w:val="00BB6258"/>
    <w:rsid w:val="00BC2B11"/>
    <w:rsid w:val="00BC6B62"/>
    <w:rsid w:val="00BC6DD2"/>
    <w:rsid w:val="00BD5411"/>
    <w:rsid w:val="00BD7B68"/>
    <w:rsid w:val="00BE2982"/>
    <w:rsid w:val="00BE29CD"/>
    <w:rsid w:val="00BE2A17"/>
    <w:rsid w:val="00BE5033"/>
    <w:rsid w:val="00BE54B9"/>
    <w:rsid w:val="00BE5F72"/>
    <w:rsid w:val="00BF1C2D"/>
    <w:rsid w:val="00BF4C27"/>
    <w:rsid w:val="00BF76E1"/>
    <w:rsid w:val="00BF7818"/>
    <w:rsid w:val="00C141A4"/>
    <w:rsid w:val="00C22BE2"/>
    <w:rsid w:val="00C4097E"/>
    <w:rsid w:val="00C41340"/>
    <w:rsid w:val="00C448C8"/>
    <w:rsid w:val="00C64183"/>
    <w:rsid w:val="00C65859"/>
    <w:rsid w:val="00C742FE"/>
    <w:rsid w:val="00C75449"/>
    <w:rsid w:val="00C76B55"/>
    <w:rsid w:val="00C812E2"/>
    <w:rsid w:val="00C83A77"/>
    <w:rsid w:val="00C83A97"/>
    <w:rsid w:val="00C8590D"/>
    <w:rsid w:val="00C90172"/>
    <w:rsid w:val="00C95FE4"/>
    <w:rsid w:val="00CA311C"/>
    <w:rsid w:val="00CA4A7E"/>
    <w:rsid w:val="00CA64E0"/>
    <w:rsid w:val="00CB0EF7"/>
    <w:rsid w:val="00CB29DF"/>
    <w:rsid w:val="00CB35B6"/>
    <w:rsid w:val="00CB361C"/>
    <w:rsid w:val="00CB6EF1"/>
    <w:rsid w:val="00CB7CB9"/>
    <w:rsid w:val="00CC0FB8"/>
    <w:rsid w:val="00CC11C7"/>
    <w:rsid w:val="00CC38E4"/>
    <w:rsid w:val="00CD13EC"/>
    <w:rsid w:val="00CD6B7B"/>
    <w:rsid w:val="00CD77D6"/>
    <w:rsid w:val="00CE0DE0"/>
    <w:rsid w:val="00D04D95"/>
    <w:rsid w:val="00D10FF8"/>
    <w:rsid w:val="00D157C5"/>
    <w:rsid w:val="00D165BF"/>
    <w:rsid w:val="00D257A0"/>
    <w:rsid w:val="00D2598B"/>
    <w:rsid w:val="00D26255"/>
    <w:rsid w:val="00D271FE"/>
    <w:rsid w:val="00D31ECD"/>
    <w:rsid w:val="00D341A4"/>
    <w:rsid w:val="00D413A7"/>
    <w:rsid w:val="00D51945"/>
    <w:rsid w:val="00D540CD"/>
    <w:rsid w:val="00D5560C"/>
    <w:rsid w:val="00D56389"/>
    <w:rsid w:val="00D5661A"/>
    <w:rsid w:val="00D62B53"/>
    <w:rsid w:val="00D712A8"/>
    <w:rsid w:val="00D7699D"/>
    <w:rsid w:val="00D83950"/>
    <w:rsid w:val="00D9171E"/>
    <w:rsid w:val="00DA0274"/>
    <w:rsid w:val="00DA2C60"/>
    <w:rsid w:val="00DA4B5B"/>
    <w:rsid w:val="00DA4CF5"/>
    <w:rsid w:val="00DB67D4"/>
    <w:rsid w:val="00DC3B88"/>
    <w:rsid w:val="00DC4406"/>
    <w:rsid w:val="00DD2609"/>
    <w:rsid w:val="00DD6080"/>
    <w:rsid w:val="00DE0359"/>
    <w:rsid w:val="00DE0540"/>
    <w:rsid w:val="00DE505F"/>
    <w:rsid w:val="00DF1304"/>
    <w:rsid w:val="00E05807"/>
    <w:rsid w:val="00E05919"/>
    <w:rsid w:val="00E13838"/>
    <w:rsid w:val="00E27020"/>
    <w:rsid w:val="00E30835"/>
    <w:rsid w:val="00E36D3F"/>
    <w:rsid w:val="00E40627"/>
    <w:rsid w:val="00E40EDD"/>
    <w:rsid w:val="00E432BA"/>
    <w:rsid w:val="00E44268"/>
    <w:rsid w:val="00E46D5E"/>
    <w:rsid w:val="00E54D80"/>
    <w:rsid w:val="00E65BC7"/>
    <w:rsid w:val="00E74CB0"/>
    <w:rsid w:val="00E82A4C"/>
    <w:rsid w:val="00E86927"/>
    <w:rsid w:val="00E87885"/>
    <w:rsid w:val="00E96D69"/>
    <w:rsid w:val="00EA1142"/>
    <w:rsid w:val="00EA3FAF"/>
    <w:rsid w:val="00EA7618"/>
    <w:rsid w:val="00EB063E"/>
    <w:rsid w:val="00EB0C52"/>
    <w:rsid w:val="00EB76EC"/>
    <w:rsid w:val="00EC187C"/>
    <w:rsid w:val="00EC6439"/>
    <w:rsid w:val="00EE697A"/>
    <w:rsid w:val="00EF13A2"/>
    <w:rsid w:val="00F132C1"/>
    <w:rsid w:val="00F236C2"/>
    <w:rsid w:val="00F246E2"/>
    <w:rsid w:val="00F30E80"/>
    <w:rsid w:val="00F34AA3"/>
    <w:rsid w:val="00F54211"/>
    <w:rsid w:val="00F5484B"/>
    <w:rsid w:val="00F66442"/>
    <w:rsid w:val="00F6727D"/>
    <w:rsid w:val="00F70903"/>
    <w:rsid w:val="00F7358C"/>
    <w:rsid w:val="00F74CB4"/>
    <w:rsid w:val="00F7655C"/>
    <w:rsid w:val="00F819E3"/>
    <w:rsid w:val="00F85B3A"/>
    <w:rsid w:val="00F86BDC"/>
    <w:rsid w:val="00F9263E"/>
    <w:rsid w:val="00FA177D"/>
    <w:rsid w:val="00FB0195"/>
    <w:rsid w:val="00FB08BE"/>
    <w:rsid w:val="00FB1FF9"/>
    <w:rsid w:val="00FB36EC"/>
    <w:rsid w:val="00FB77E5"/>
    <w:rsid w:val="00FC03C1"/>
    <w:rsid w:val="00FC1CEB"/>
    <w:rsid w:val="00FC2223"/>
    <w:rsid w:val="00FC27A6"/>
    <w:rsid w:val="00FC6060"/>
    <w:rsid w:val="00FC66EB"/>
    <w:rsid w:val="00FE2281"/>
    <w:rsid w:val="00FE4442"/>
    <w:rsid w:val="00FE5F47"/>
    <w:rsid w:val="00FE6556"/>
    <w:rsid w:val="00FF135D"/>
    <w:rsid w:val="00FF21B3"/>
    <w:rsid w:val="00FF3BC1"/>
    <w:rsid w:val="00FF4EE7"/>
    <w:rsid w:val="288E09D7"/>
    <w:rsid w:val="78191B3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39" w:semiHidden="0" w:name="toc 1"/>
    <w:lsdException w:unhideWhenUsed="0" w:uiPriority="39" w:semiHidden="0" w:name="toc 2"/>
    <w:lsdException w:unhideWhenUsed="0" w:uiPriority="39" w:semiHidden="0" w:name="toc 3"/>
    <w:lsdException w:unhideWhenUsed="0" w:uiPriority="39" w:semiHidden="0" w:name="toc 4"/>
    <w:lsdException w:unhideWhenUsed="0" w:uiPriority="39" w:semiHidden="0" w:name="toc 5"/>
    <w:lsdException w:unhideWhenUsed="0" w:uiPriority="39" w:semiHidden="0" w:name="toc 6"/>
    <w:lsdException w:unhideWhenUsed="0" w:uiPriority="39" w:semiHidden="0" w:name="toc 7"/>
    <w:lsdException w:unhideWhenUsed="0" w:uiPriority="39" w:semiHidden="0" w:name="toc 8"/>
    <w:lsdException w:unhideWhenUsed="0" w:uiPriority="39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tLeast"/>
    </w:pPr>
    <w:rPr>
      <w:rFonts w:ascii="宋体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numPr>
        <w:ilvl w:val="0"/>
        <w:numId w:val="1"/>
      </w:numPr>
      <w:spacing w:before="120" w:after="60"/>
      <w:outlineLvl w:val="0"/>
    </w:pPr>
    <w:rPr>
      <w:rFonts w:eastAsia="黑体"/>
      <w:b/>
      <w:sz w:val="28"/>
    </w:rPr>
  </w:style>
  <w:style w:type="paragraph" w:styleId="3">
    <w:name w:val="heading 2"/>
    <w:basedOn w:val="2"/>
    <w:next w:val="1"/>
    <w:qFormat/>
    <w:uiPriority w:val="0"/>
    <w:pPr>
      <w:numPr>
        <w:ilvl w:val="1"/>
        <w:numId w:val="1"/>
      </w:numPr>
      <w:outlineLvl w:val="1"/>
    </w:pPr>
    <w:rPr>
      <w:rFonts w:eastAsia="黑体"/>
      <w:sz w:val="24"/>
    </w:rPr>
  </w:style>
  <w:style w:type="paragraph" w:styleId="4">
    <w:name w:val="heading 3"/>
    <w:basedOn w:val="1"/>
    <w:next w:val="1"/>
    <w:qFormat/>
    <w:uiPriority w:val="0"/>
    <w:pPr>
      <w:numPr>
        <w:ilvl w:val="2"/>
        <w:numId w:val="1"/>
      </w:numPr>
      <w:outlineLvl w:val="2"/>
    </w:pPr>
    <w:rPr>
      <w:rFonts w:eastAsia="黑体"/>
      <w:b/>
      <w:sz w:val="21"/>
    </w:rPr>
  </w:style>
  <w:style w:type="paragraph" w:styleId="5">
    <w:name w:val="heading 4"/>
    <w:basedOn w:val="2"/>
    <w:next w:val="1"/>
    <w:link w:val="67"/>
    <w:qFormat/>
    <w:uiPriority w:val="0"/>
    <w:pPr>
      <w:numPr>
        <w:ilvl w:val="3"/>
        <w:numId w:val="1"/>
      </w:numPr>
      <w:outlineLvl w:val="3"/>
    </w:pPr>
    <w:rPr>
      <w:sz w:val="20"/>
    </w:rPr>
  </w:style>
  <w:style w:type="paragraph" w:styleId="6">
    <w:name w:val="heading 5"/>
    <w:basedOn w:val="1"/>
    <w:next w:val="1"/>
    <w:qFormat/>
    <w:uiPriority w:val="0"/>
    <w:pPr>
      <w:numPr>
        <w:ilvl w:val="4"/>
        <w:numId w:val="1"/>
      </w:numPr>
      <w:spacing w:before="240" w:after="60"/>
      <w:ind w:left="2880"/>
      <w:outlineLvl w:val="4"/>
    </w:pPr>
    <w:rPr>
      <w:sz w:val="22"/>
    </w:rPr>
  </w:style>
  <w:style w:type="paragraph" w:styleId="7">
    <w:name w:val="heading 6"/>
    <w:basedOn w:val="1"/>
    <w:next w:val="1"/>
    <w:qFormat/>
    <w:uiPriority w:val="0"/>
    <w:pPr>
      <w:numPr>
        <w:ilvl w:val="5"/>
        <w:numId w:val="1"/>
      </w:numPr>
      <w:spacing w:before="240" w:after="60"/>
      <w:ind w:left="2880"/>
      <w:outlineLvl w:val="5"/>
    </w:pPr>
    <w:rPr>
      <w:i/>
      <w:sz w:val="22"/>
    </w:rPr>
  </w:style>
  <w:style w:type="paragraph" w:styleId="8">
    <w:name w:val="heading 7"/>
    <w:basedOn w:val="1"/>
    <w:next w:val="1"/>
    <w:qFormat/>
    <w:uiPriority w:val="0"/>
    <w:pPr>
      <w:numPr>
        <w:ilvl w:val="6"/>
        <w:numId w:val="1"/>
      </w:numPr>
      <w:spacing w:before="240" w:after="60"/>
      <w:ind w:left="2880"/>
      <w:outlineLvl w:val="6"/>
    </w:pPr>
  </w:style>
  <w:style w:type="paragraph" w:styleId="9">
    <w:name w:val="heading 8"/>
    <w:basedOn w:val="1"/>
    <w:next w:val="1"/>
    <w:qFormat/>
    <w:uiPriority w:val="0"/>
    <w:pPr>
      <w:numPr>
        <w:ilvl w:val="7"/>
        <w:numId w:val="1"/>
      </w:numPr>
      <w:spacing w:before="240" w:after="60"/>
      <w:ind w:left="2880"/>
      <w:outlineLvl w:val="7"/>
    </w:pPr>
    <w:rPr>
      <w:i/>
    </w:rPr>
  </w:style>
  <w:style w:type="paragraph" w:styleId="10">
    <w:name w:val="heading 9"/>
    <w:basedOn w:val="1"/>
    <w:next w:val="1"/>
    <w:qFormat/>
    <w:uiPriority w:val="0"/>
    <w:pPr>
      <w:numPr>
        <w:ilvl w:val="8"/>
        <w:numId w:val="1"/>
      </w:numPr>
      <w:spacing w:before="240" w:after="60"/>
      <w:ind w:left="2880"/>
      <w:outlineLvl w:val="8"/>
    </w:pPr>
    <w:rPr>
      <w:b/>
      <w:i/>
      <w:sz w:val="18"/>
    </w:rPr>
  </w:style>
  <w:style w:type="character" w:default="1" w:styleId="36">
    <w:name w:val="Default Paragraph Font"/>
    <w:uiPriority w:val="0"/>
  </w:style>
  <w:style w:type="table" w:default="1" w:styleId="35">
    <w:name w:val="Normal Table"/>
    <w:semiHidden/>
    <w:uiPriority w:val="0"/>
    <w:tblPr>
      <w:tblStyle w:val="35"/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basedOn w:val="1"/>
    <w:next w:val="1"/>
    <w:uiPriority w:val="39"/>
    <w:pPr>
      <w:ind w:left="1200"/>
    </w:pPr>
    <w:rPr>
      <w:rFonts w:ascii="Times New Roman"/>
    </w:rPr>
  </w:style>
  <w:style w:type="paragraph" w:styleId="12">
    <w:name w:val="Normal Indent"/>
    <w:basedOn w:val="1"/>
    <w:uiPriority w:val="0"/>
    <w:pPr>
      <w:ind w:left="900" w:hanging="900"/>
    </w:pPr>
  </w:style>
  <w:style w:type="paragraph" w:styleId="13">
    <w:name w:val="Document Map"/>
    <w:basedOn w:val="1"/>
    <w:uiPriority w:val="0"/>
    <w:pPr>
      <w:shd w:val="clear" w:color="auto" w:fill="000080"/>
    </w:pPr>
  </w:style>
  <w:style w:type="paragraph" w:styleId="14">
    <w:name w:val="Body Text"/>
    <w:basedOn w:val="1"/>
    <w:link w:val="59"/>
    <w:uiPriority w:val="0"/>
    <w:pPr>
      <w:keepLines/>
      <w:spacing w:after="120" w:afterLines="0" w:afterAutospacing="0"/>
      <w:ind w:left="720"/>
    </w:pPr>
  </w:style>
  <w:style w:type="paragraph" w:styleId="15">
    <w:name w:val="Body Text Indent"/>
    <w:basedOn w:val="1"/>
    <w:uiPriority w:val="0"/>
    <w:pPr>
      <w:ind w:left="720"/>
    </w:pPr>
    <w:rPr>
      <w:i/>
      <w:color w:val="0000FF"/>
      <w:u w:val="single"/>
    </w:rPr>
  </w:style>
  <w:style w:type="paragraph" w:styleId="16">
    <w:name w:val="toc 5"/>
    <w:basedOn w:val="1"/>
    <w:next w:val="1"/>
    <w:uiPriority w:val="39"/>
    <w:pPr>
      <w:ind w:left="800"/>
    </w:pPr>
    <w:rPr>
      <w:rFonts w:ascii="Times New Roman"/>
    </w:rPr>
  </w:style>
  <w:style w:type="paragraph" w:styleId="17">
    <w:name w:val="toc 3"/>
    <w:basedOn w:val="1"/>
    <w:next w:val="1"/>
    <w:uiPriority w:val="39"/>
    <w:pPr>
      <w:ind w:left="400"/>
    </w:pPr>
    <w:rPr>
      <w:rFonts w:ascii="Times New Roman"/>
    </w:rPr>
  </w:style>
  <w:style w:type="paragraph" w:styleId="18">
    <w:name w:val="toc 8"/>
    <w:basedOn w:val="1"/>
    <w:next w:val="1"/>
    <w:uiPriority w:val="39"/>
    <w:pPr>
      <w:ind w:left="1400"/>
    </w:pPr>
    <w:rPr>
      <w:rFonts w:ascii="Times New Roman"/>
    </w:rPr>
  </w:style>
  <w:style w:type="paragraph" w:styleId="19">
    <w:name w:val="Body Text Indent 2"/>
    <w:basedOn w:val="1"/>
    <w:uiPriority w:val="0"/>
    <w:pPr>
      <w:spacing w:line="360" w:lineRule="auto"/>
      <w:ind w:left="1260" w:leftChars="630"/>
    </w:pPr>
  </w:style>
  <w:style w:type="paragraph" w:styleId="20">
    <w:name w:val="endnote text"/>
    <w:basedOn w:val="1"/>
    <w:link w:val="65"/>
    <w:uiPriority w:val="0"/>
    <w:pPr>
      <w:snapToGrid w:val="0"/>
    </w:pPr>
  </w:style>
  <w:style w:type="paragraph" w:styleId="21">
    <w:name w:val="Balloon Text"/>
    <w:basedOn w:val="1"/>
    <w:uiPriority w:val="0"/>
    <w:rPr>
      <w:sz w:val="18"/>
    </w:rPr>
  </w:style>
  <w:style w:type="paragraph" w:styleId="22">
    <w:name w:val="footer"/>
    <w:basedOn w:val="1"/>
    <w:uiPriority w:val="0"/>
    <w:pPr>
      <w:tabs>
        <w:tab w:val="center" w:pos="4320"/>
        <w:tab w:val="right" w:pos="8640"/>
      </w:tabs>
    </w:pPr>
  </w:style>
  <w:style w:type="paragraph" w:styleId="23">
    <w:name w:val="header"/>
    <w:basedOn w:val="1"/>
    <w:uiPriority w:val="0"/>
    <w:pPr>
      <w:tabs>
        <w:tab w:val="center" w:pos="4320"/>
        <w:tab w:val="right" w:pos="8640"/>
      </w:tabs>
    </w:pPr>
  </w:style>
  <w:style w:type="paragraph" w:styleId="24">
    <w:name w:val="toc 1"/>
    <w:basedOn w:val="1"/>
    <w:next w:val="1"/>
    <w:uiPriority w:val="39"/>
    <w:pPr>
      <w:spacing w:before="120"/>
    </w:pPr>
    <w:rPr>
      <w:rFonts w:ascii="Times New Roman"/>
      <w:b/>
      <w:bCs/>
      <w:i/>
      <w:iCs/>
      <w:sz w:val="24"/>
      <w:szCs w:val="24"/>
    </w:rPr>
  </w:style>
  <w:style w:type="paragraph" w:styleId="25">
    <w:name w:val="toc 4"/>
    <w:basedOn w:val="1"/>
    <w:next w:val="1"/>
    <w:uiPriority w:val="39"/>
    <w:pPr>
      <w:ind w:left="600"/>
    </w:pPr>
    <w:rPr>
      <w:rFonts w:ascii="Times New Roman"/>
    </w:rPr>
  </w:style>
  <w:style w:type="paragraph" w:styleId="26">
    <w:name w:val="Subtitle"/>
    <w:basedOn w:val="1"/>
    <w:qFormat/>
    <w:uiPriority w:val="0"/>
    <w:pPr>
      <w:spacing w:after="60" w:afterLines="0" w:afterAutospacing="0"/>
      <w:jc w:val="center"/>
    </w:pPr>
    <w:rPr>
      <w:i/>
      <w:sz w:val="36"/>
      <w:lang w:val="en-AU"/>
    </w:rPr>
  </w:style>
  <w:style w:type="paragraph" w:styleId="27">
    <w:name w:val="footnote text"/>
    <w:basedOn w:val="1"/>
    <w:uiPriority w:val="0"/>
    <w:pPr>
      <w:keepNext/>
      <w:keepLines/>
      <w:pBdr>
        <w:bottom w:val="single" w:color="000000" w:sz="6" w:space="0"/>
      </w:pBdr>
      <w:spacing w:before="40" w:beforeLines="0" w:beforeAutospacing="0" w:after="40" w:afterLines="0" w:afterAutospacing="0"/>
      <w:ind w:left="360" w:hanging="360"/>
    </w:pPr>
    <w:rPr>
      <w:sz w:val="16"/>
    </w:rPr>
  </w:style>
  <w:style w:type="paragraph" w:styleId="28">
    <w:name w:val="toc 6"/>
    <w:basedOn w:val="1"/>
    <w:next w:val="1"/>
    <w:uiPriority w:val="39"/>
    <w:pPr>
      <w:ind w:left="1000"/>
    </w:pPr>
    <w:rPr>
      <w:rFonts w:ascii="Times New Roman"/>
    </w:rPr>
  </w:style>
  <w:style w:type="paragraph" w:styleId="29">
    <w:name w:val="Body Text Indent 3"/>
    <w:basedOn w:val="1"/>
    <w:uiPriority w:val="0"/>
    <w:pPr>
      <w:ind w:left="720" w:leftChars="360" w:firstLine="480" w:firstLineChars="200"/>
    </w:pPr>
    <w:rPr>
      <w:sz w:val="24"/>
    </w:rPr>
  </w:style>
  <w:style w:type="paragraph" w:styleId="30">
    <w:name w:val="toc 2"/>
    <w:basedOn w:val="1"/>
    <w:next w:val="1"/>
    <w:uiPriority w:val="39"/>
    <w:pPr>
      <w:spacing w:before="120"/>
      <w:ind w:left="200"/>
    </w:pPr>
    <w:rPr>
      <w:rFonts w:ascii="Times New Roman"/>
      <w:b/>
      <w:bCs/>
      <w:sz w:val="22"/>
      <w:szCs w:val="22"/>
    </w:rPr>
  </w:style>
  <w:style w:type="paragraph" w:styleId="31">
    <w:name w:val="toc 9"/>
    <w:basedOn w:val="1"/>
    <w:next w:val="1"/>
    <w:uiPriority w:val="39"/>
    <w:pPr>
      <w:ind w:left="1600"/>
    </w:pPr>
    <w:rPr>
      <w:rFonts w:ascii="Times New Roman"/>
    </w:rPr>
  </w:style>
  <w:style w:type="paragraph" w:styleId="32">
    <w:name w:val="Normal (Web)"/>
    <w:basedOn w:val="1"/>
    <w:uiPriority w:val="0"/>
    <w:pPr>
      <w:widowControl/>
      <w:spacing w:before="100" w:beforeLines="0" w:beforeAutospacing="1" w:after="100" w:afterLines="0" w:afterAutospacing="1" w:line="240" w:lineRule="auto"/>
    </w:pPr>
    <w:rPr>
      <w:rFonts w:hAnsi="宋体"/>
      <w:sz w:val="24"/>
    </w:rPr>
  </w:style>
  <w:style w:type="paragraph" w:styleId="33">
    <w:name w:val="Title"/>
    <w:basedOn w:val="1"/>
    <w:next w:val="1"/>
    <w:qFormat/>
    <w:uiPriority w:val="0"/>
    <w:pPr>
      <w:spacing w:line="240" w:lineRule="auto"/>
      <w:jc w:val="center"/>
    </w:pPr>
    <w:rPr>
      <w:b/>
      <w:sz w:val="36"/>
    </w:rPr>
  </w:style>
  <w:style w:type="paragraph" w:styleId="34">
    <w:name w:val="Body Text First Indent"/>
    <w:basedOn w:val="14"/>
    <w:link w:val="66"/>
    <w:uiPriority w:val="0"/>
    <w:pPr>
      <w:keepLines w:val="0"/>
      <w:ind w:left="0" w:firstLine="420" w:firstLineChars="100"/>
    </w:pPr>
  </w:style>
  <w:style w:type="character" w:styleId="37">
    <w:name w:val="Strong"/>
    <w:qFormat/>
    <w:uiPriority w:val="0"/>
    <w:rPr>
      <w:b/>
    </w:rPr>
  </w:style>
  <w:style w:type="character" w:styleId="38">
    <w:name w:val="endnote reference"/>
    <w:uiPriority w:val="0"/>
    <w:rPr>
      <w:vertAlign w:val="superscript"/>
    </w:rPr>
  </w:style>
  <w:style w:type="character" w:styleId="39">
    <w:name w:val="page number"/>
    <w:basedOn w:val="36"/>
    <w:uiPriority w:val="0"/>
  </w:style>
  <w:style w:type="character" w:styleId="40">
    <w:name w:val="FollowedHyperlink"/>
    <w:uiPriority w:val="0"/>
    <w:rPr>
      <w:color w:val="800080"/>
      <w:u w:val="single"/>
    </w:rPr>
  </w:style>
  <w:style w:type="character" w:styleId="41">
    <w:name w:val="Hyperlink"/>
    <w:uiPriority w:val="99"/>
    <w:rPr>
      <w:color w:val="0000FF"/>
      <w:u w:val="single"/>
    </w:rPr>
  </w:style>
  <w:style w:type="character" w:styleId="42">
    <w:name w:val="footnote reference"/>
    <w:uiPriority w:val="0"/>
    <w:rPr>
      <w:sz w:val="20"/>
      <w:vertAlign w:val="superscript"/>
    </w:rPr>
  </w:style>
  <w:style w:type="paragraph" w:customStyle="1" w:styleId="43">
    <w:name w:val="Paragraph4"/>
    <w:basedOn w:val="1"/>
    <w:uiPriority w:val="0"/>
    <w:pPr>
      <w:spacing w:before="80" w:beforeLines="0" w:beforeAutospacing="0" w:line="240" w:lineRule="auto"/>
      <w:ind w:left="2250"/>
      <w:jc w:val="both"/>
    </w:pPr>
  </w:style>
  <w:style w:type="paragraph" w:customStyle="1" w:styleId="44">
    <w:name w:val="批注框文本 Char Char"/>
    <w:basedOn w:val="1"/>
    <w:uiPriority w:val="0"/>
    <w:rPr>
      <w:sz w:val="18"/>
    </w:rPr>
  </w:style>
  <w:style w:type="paragraph" w:customStyle="1" w:styleId="45">
    <w:name w:val="Paragraph1"/>
    <w:basedOn w:val="1"/>
    <w:uiPriority w:val="0"/>
    <w:pPr>
      <w:spacing w:before="80" w:beforeLines="0" w:beforeAutospacing="0" w:line="240" w:lineRule="auto"/>
      <w:jc w:val="both"/>
    </w:pPr>
  </w:style>
  <w:style w:type="paragraph" w:customStyle="1" w:styleId="46">
    <w:name w:val="Bullet"/>
    <w:basedOn w:val="1"/>
    <w:uiPriority w:val="0"/>
    <w:pPr>
      <w:widowControl/>
      <w:numPr>
        <w:ilvl w:val="0"/>
        <w:numId w:val="0"/>
      </w:numPr>
      <w:tabs>
        <w:tab w:val="left" w:pos="720"/>
      </w:tabs>
      <w:spacing w:before="120" w:beforeLines="0" w:beforeAutospacing="0" w:line="240" w:lineRule="auto"/>
      <w:ind w:left="720" w:right="360"/>
      <w:jc w:val="both"/>
    </w:pPr>
  </w:style>
  <w:style w:type="paragraph" w:customStyle="1" w:styleId="47">
    <w:name w:val="InfoBlue"/>
    <w:basedOn w:val="1"/>
    <w:next w:val="14"/>
    <w:uiPriority w:val="0"/>
    <w:pPr>
      <w:spacing w:before="240" w:beforeLines="0" w:beforeAutospacing="0" w:after="120" w:afterLines="0" w:afterAutospacing="0"/>
      <w:ind w:left="765"/>
    </w:pPr>
    <w:rPr>
      <w:rFonts w:ascii="Times New Roman"/>
      <w:i/>
      <w:color w:val="0000FF"/>
    </w:rPr>
  </w:style>
  <w:style w:type="paragraph" w:customStyle="1" w:styleId="48">
    <w:name w:val="Paragraph2"/>
    <w:basedOn w:val="1"/>
    <w:uiPriority w:val="0"/>
    <w:pPr>
      <w:spacing w:before="80" w:beforeLines="0" w:beforeAutospacing="0"/>
      <w:ind w:left="720"/>
      <w:jc w:val="both"/>
    </w:pPr>
    <w:rPr>
      <w:color w:val="000000"/>
      <w:lang w:val="en-AU"/>
    </w:rPr>
  </w:style>
  <w:style w:type="paragraph" w:customStyle="1" w:styleId="49">
    <w:name w:val="Bullet2"/>
    <w:basedOn w:val="1"/>
    <w:uiPriority w:val="0"/>
    <w:pPr>
      <w:ind w:left="1440" w:hanging="360"/>
    </w:pPr>
    <w:rPr>
      <w:color w:val="000080"/>
    </w:rPr>
  </w:style>
  <w:style w:type="paragraph" w:customStyle="1" w:styleId="50">
    <w:name w:val="Paragraph3"/>
    <w:basedOn w:val="1"/>
    <w:uiPriority w:val="0"/>
    <w:pPr>
      <w:spacing w:before="80" w:beforeLines="0" w:beforeAutospacing="0" w:line="240" w:lineRule="auto"/>
      <w:ind w:left="1530"/>
      <w:jc w:val="both"/>
    </w:pPr>
  </w:style>
  <w:style w:type="paragraph" w:customStyle="1" w:styleId="51">
    <w:name w:val="Tabletext"/>
    <w:basedOn w:val="1"/>
    <w:uiPriority w:val="0"/>
    <w:pPr>
      <w:keepLines/>
      <w:spacing w:after="120" w:afterLines="0" w:afterAutospacing="0"/>
    </w:pPr>
  </w:style>
  <w:style w:type="paragraph" w:customStyle="1" w:styleId="52">
    <w:name w:val="Body"/>
    <w:basedOn w:val="1"/>
    <w:uiPriority w:val="0"/>
    <w:pPr>
      <w:widowControl/>
      <w:spacing w:before="120" w:beforeLines="0" w:beforeAutospacing="0" w:line="240" w:lineRule="auto"/>
      <w:jc w:val="both"/>
    </w:pPr>
  </w:style>
  <w:style w:type="paragraph" w:customStyle="1" w:styleId="53">
    <w:name w:val="Bullet1"/>
    <w:basedOn w:val="1"/>
    <w:uiPriority w:val="0"/>
    <w:pPr>
      <w:ind w:left="720" w:hanging="432"/>
    </w:pPr>
  </w:style>
  <w:style w:type="paragraph" w:customStyle="1" w:styleId="54">
    <w:name w:val="Main Title"/>
    <w:basedOn w:val="1"/>
    <w:uiPriority w:val="0"/>
    <w:pPr>
      <w:spacing w:before="480" w:beforeLines="0" w:beforeAutospacing="0" w:after="60" w:afterLines="0" w:afterAutospacing="0" w:line="240" w:lineRule="auto"/>
      <w:jc w:val="center"/>
    </w:pPr>
    <w:rPr>
      <w:b/>
      <w:kern w:val="28"/>
      <w:sz w:val="32"/>
    </w:rPr>
  </w:style>
  <w:style w:type="paragraph" w:styleId="55">
    <w:name w:val=""/>
    <w:basedOn w:val="2"/>
    <w:next w:val="1"/>
    <w:unhideWhenUsed/>
    <w:qFormat/>
    <w:uiPriority w:val="39"/>
    <w:pPr>
      <w:keepLines/>
      <w:widowControl/>
      <w:numPr>
        <w:ilvl w:val="0"/>
        <w:numId w:val="0"/>
      </w:numPr>
      <w:spacing w:before="480" w:after="0" w:line="276" w:lineRule="auto"/>
      <w:outlineLvl w:val="9"/>
    </w:pPr>
    <w:rPr>
      <w:rFonts w:ascii="Cambria" w:hAnsi="Cambria" w:eastAsia="宋体" w:cs="Times New Roman"/>
      <w:bCs/>
      <w:color w:val="365F91"/>
      <w:szCs w:val="28"/>
    </w:rPr>
  </w:style>
  <w:style w:type="paragraph" w:styleId="56">
    <w:name w:val="List Paragraph"/>
    <w:basedOn w:val="1"/>
    <w:qFormat/>
    <w:uiPriority w:val="34"/>
    <w:pPr>
      <w:ind w:firstLine="420" w:firstLineChars="200"/>
    </w:pPr>
  </w:style>
  <w:style w:type="character" w:customStyle="1" w:styleId="57">
    <w:name w:val="tw4winJump"/>
    <w:uiPriority w:val="0"/>
    <w:rPr>
      <w:rFonts w:ascii="Courier New" w:hAnsi="Courier New"/>
      <w:color w:val="008080"/>
    </w:rPr>
  </w:style>
  <w:style w:type="character" w:customStyle="1" w:styleId="58">
    <w:name w:val="tw4winExternal"/>
    <w:uiPriority w:val="0"/>
    <w:rPr>
      <w:rFonts w:ascii="Courier New" w:hAnsi="Courier New"/>
      <w:color w:val="808080"/>
    </w:rPr>
  </w:style>
  <w:style w:type="character" w:customStyle="1" w:styleId="59">
    <w:name w:val="正文文本 Char"/>
    <w:link w:val="14"/>
    <w:uiPriority w:val="0"/>
    <w:rPr>
      <w:rFonts w:ascii="宋体"/>
    </w:rPr>
  </w:style>
  <w:style w:type="character" w:customStyle="1" w:styleId="60">
    <w:name w:val="tw4winInternal"/>
    <w:uiPriority w:val="0"/>
    <w:rPr>
      <w:rFonts w:ascii="Courier New" w:hAnsi="Courier New"/>
      <w:color w:val="FF0000"/>
    </w:rPr>
  </w:style>
  <w:style w:type="character" w:customStyle="1" w:styleId="61">
    <w:name w:val="tw4winTerm"/>
    <w:uiPriority w:val="0"/>
    <w:rPr>
      <w:color w:val="0000FF"/>
    </w:rPr>
  </w:style>
  <w:style w:type="character" w:customStyle="1" w:styleId="62">
    <w:name w:val="tw4winError"/>
    <w:uiPriority w:val="0"/>
    <w:rPr>
      <w:rFonts w:ascii="Courier New" w:hAnsi="Courier New"/>
      <w:color w:val="00FF00"/>
      <w:sz w:val="40"/>
    </w:rPr>
  </w:style>
  <w:style w:type="character" w:customStyle="1" w:styleId="63">
    <w:name w:val="tw4winPopup"/>
    <w:uiPriority w:val="0"/>
    <w:rPr>
      <w:rFonts w:ascii="Courier New" w:hAnsi="Courier New"/>
      <w:color w:val="008000"/>
    </w:rPr>
  </w:style>
  <w:style w:type="character" w:customStyle="1" w:styleId="64">
    <w:name w:val="tw4winMark"/>
    <w:uiPriority w:val="0"/>
    <w:rPr>
      <w:rFonts w:ascii="Courier New" w:hAnsi="Courier New"/>
      <w:vanish/>
      <w:color w:val="800080"/>
      <w:vertAlign w:val="subscript"/>
    </w:rPr>
  </w:style>
  <w:style w:type="character" w:customStyle="1" w:styleId="65">
    <w:name w:val="尾注文本 Char"/>
    <w:link w:val="20"/>
    <w:uiPriority w:val="0"/>
    <w:rPr>
      <w:rFonts w:ascii="宋体"/>
    </w:rPr>
  </w:style>
  <w:style w:type="character" w:customStyle="1" w:styleId="66">
    <w:name w:val="正文首行缩进 Char"/>
    <w:basedOn w:val="59"/>
    <w:link w:val="34"/>
    <w:uiPriority w:val="0"/>
  </w:style>
  <w:style w:type="character" w:customStyle="1" w:styleId="67">
    <w:name w:val="标题 4 Char"/>
    <w:link w:val="5"/>
    <w:uiPriority w:val="0"/>
    <w:rPr>
      <w:rFonts w:ascii="宋体" w:eastAsia="黑体"/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4" Type="http://schemas.openxmlformats.org/officeDocument/2006/relationships/fontTable" Target="fontTable.xml"/><Relationship Id="rId33" Type="http://schemas.openxmlformats.org/officeDocument/2006/relationships/numbering" Target="numbering.xml"/><Relationship Id="rId32" Type="http://schemas.openxmlformats.org/officeDocument/2006/relationships/customXml" Target="../customXml/item1.xml"/><Relationship Id="rId31" Type="http://schemas.openxmlformats.org/officeDocument/2006/relationships/image" Target="media/image26.png"/><Relationship Id="rId30" Type="http://schemas.openxmlformats.org/officeDocument/2006/relationships/image" Target="media/image25.png"/><Relationship Id="rId3" Type="http://schemas.openxmlformats.org/officeDocument/2006/relationships/header" Target="header1.xml"/><Relationship Id="rId29" Type="http://schemas.openxmlformats.org/officeDocument/2006/relationships/image" Target="media/image24.png"/><Relationship Id="rId28" Type="http://schemas.openxmlformats.org/officeDocument/2006/relationships/image" Target="media/image23.png"/><Relationship Id="rId27" Type="http://schemas.openxmlformats.org/officeDocument/2006/relationships/image" Target="media/image22.png"/><Relationship Id="rId26" Type="http://schemas.openxmlformats.org/officeDocument/2006/relationships/image" Target="media/image21.png"/><Relationship Id="rId25" Type="http://schemas.openxmlformats.org/officeDocument/2006/relationships/image" Target="media/image20.png"/><Relationship Id="rId24" Type="http://schemas.openxmlformats.org/officeDocument/2006/relationships/image" Target="media/image19.png"/><Relationship Id="rId23" Type="http://schemas.openxmlformats.org/officeDocument/2006/relationships/image" Target="media/image18.png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system32\rup_srs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rup_srs</Template>
  <Company>Microsoft</Company>
  <Pages>15</Pages>
  <Words>187</Words>
  <Characters>1070</Characters>
  <Lines>8</Lines>
  <Paragraphs>2</Paragraphs>
  <TotalTime>0</TotalTime>
  <ScaleCrop>false</ScaleCrop>
  <LinksUpToDate>false</LinksUpToDate>
  <CharactersWithSpaces>1255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2015-08-13T07:54:00Z</dcterms:created>
  <dc:creator>Squall</dc:creator>
  <cp:lastModifiedBy>医疗–周鑫</cp:lastModifiedBy>
  <cp:lastPrinted>2006-07-17T09:26:00Z</cp:lastPrinted>
  <dcterms:modified xsi:type="dcterms:W3CDTF">2020-06-11T02:27:29Z</dcterms:modified>
  <cp:revision>122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