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pacing w:line="520" w:lineRule="exact"/>
        <w:jc w:val="left"/>
        <w:textAlignment w:val="auto"/>
        <w:rPr>
          <w:rFonts w:hint="eastAsia" w:ascii="黑体" w:hAnsi="黑体" w:eastAsia="黑体" w:cs="黑体"/>
          <w:b w:val="0"/>
          <w:bCs/>
          <w:i w:val="0"/>
          <w:iCs/>
          <w:kern w:val="0"/>
          <w:sz w:val="32"/>
          <w:szCs w:val="32"/>
          <w:lang w:val="en-US" w:eastAsia="zh-CN"/>
        </w:rPr>
      </w:pPr>
      <w:r>
        <w:rPr>
          <w:rFonts w:hint="eastAsia" w:ascii="黑体" w:hAnsi="黑体" w:eastAsia="黑体" w:cs="黑体"/>
          <w:b w:val="0"/>
          <w:bCs/>
          <w:i w:val="0"/>
          <w:iCs/>
          <w:kern w:val="0"/>
          <w:sz w:val="32"/>
          <w:szCs w:val="32"/>
          <w:lang w:val="en-US" w:eastAsia="zh-CN"/>
        </w:rPr>
        <w:t>附件1：</w:t>
      </w:r>
    </w:p>
    <w:p>
      <w:pPr>
        <w:keepNext w:val="0"/>
        <w:keepLines w:val="0"/>
        <w:pageBreakBefore w:val="0"/>
        <w:kinsoku/>
        <w:wordWrap/>
        <w:overflowPunct/>
        <w:topLinePunct w:val="0"/>
        <w:autoSpaceDE w:val="0"/>
        <w:autoSpaceDN w:val="0"/>
        <w:bidi w:val="0"/>
        <w:adjustRightInd w:val="0"/>
        <w:spacing w:line="520" w:lineRule="exact"/>
        <w:jc w:val="left"/>
        <w:textAlignment w:val="auto"/>
        <w:rPr>
          <w:rFonts w:hint="eastAsia" w:ascii="黑体" w:hAnsi="黑体" w:eastAsia="黑体" w:cs="黑体"/>
          <w:b w:val="0"/>
          <w:bCs/>
          <w:i w:val="0"/>
          <w:iCs/>
          <w:kern w:val="0"/>
          <w:sz w:val="32"/>
          <w:szCs w:val="32"/>
          <w:lang w:val="en-US" w:eastAsia="zh-CN"/>
        </w:rPr>
      </w:pPr>
    </w:p>
    <w:p>
      <w:pPr>
        <w:keepNext w:val="0"/>
        <w:keepLines w:val="0"/>
        <w:pageBreakBefore w:val="0"/>
        <w:kinsoku/>
        <w:wordWrap/>
        <w:overflowPunct/>
        <w:topLinePunct w:val="0"/>
        <w:autoSpaceDE w:val="0"/>
        <w:autoSpaceDN w:val="0"/>
        <w:bidi w:val="0"/>
        <w:adjustRightInd w:val="0"/>
        <w:spacing w:line="520" w:lineRule="exact"/>
        <w:jc w:val="center"/>
        <w:textAlignment w:val="auto"/>
        <w:rPr>
          <w:rFonts w:hint="eastAsia" w:ascii="黑体" w:hAnsi="黑体" w:eastAsia="黑体" w:cs="黑体"/>
          <w:b w:val="0"/>
          <w:bCs/>
          <w:i w:val="0"/>
          <w:iCs/>
          <w:kern w:val="0"/>
          <w:sz w:val="36"/>
          <w:szCs w:val="36"/>
          <w:lang w:val="en-US" w:eastAsia="zh-CN"/>
        </w:rPr>
      </w:pPr>
      <w:bookmarkStart w:id="0" w:name="_GoBack"/>
      <w:r>
        <w:rPr>
          <w:rFonts w:hint="eastAsia" w:ascii="黑体" w:hAnsi="黑体" w:eastAsia="黑体" w:cs="黑体"/>
          <w:b w:val="0"/>
          <w:bCs/>
          <w:i w:val="0"/>
          <w:iCs/>
          <w:kern w:val="0"/>
          <w:sz w:val="36"/>
          <w:szCs w:val="36"/>
          <w:lang w:val="en-US" w:eastAsia="zh-CN"/>
        </w:rPr>
        <w:t>2020年度初中级卫生专业技术资格考试报名条件</w:t>
      </w:r>
    </w:p>
    <w:bookmarkEnd w:id="0"/>
    <w:p>
      <w:pPr>
        <w:keepNext w:val="0"/>
        <w:keepLines w:val="0"/>
        <w:pageBreakBefore w:val="0"/>
        <w:kinsoku/>
        <w:wordWrap/>
        <w:overflowPunct/>
        <w:topLinePunct w:val="0"/>
        <w:autoSpaceDE w:val="0"/>
        <w:autoSpaceDN w:val="0"/>
        <w:bidi w:val="0"/>
        <w:adjustRightInd w:val="0"/>
        <w:spacing w:line="520" w:lineRule="exact"/>
        <w:jc w:val="center"/>
        <w:textAlignment w:val="auto"/>
        <w:rPr>
          <w:rFonts w:hint="default" w:ascii="黑体" w:hAnsi="黑体" w:eastAsia="黑体" w:cs="黑体"/>
          <w:b w:val="0"/>
          <w:bCs/>
          <w:i w:val="0"/>
          <w:iCs/>
          <w:kern w:val="0"/>
          <w:sz w:val="36"/>
          <w:szCs w:val="36"/>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20" w:lineRule="exact"/>
        <w:ind w:firstLine="632" w:firstLineChars="200"/>
        <w:jc w:val="left"/>
        <w:textAlignment w:val="auto"/>
        <w:rPr>
          <w:rFonts w:hint="eastAsia" w:ascii="黑体" w:hAnsi="黑体" w:eastAsia="黑体" w:cs="黑体"/>
          <w:b w:val="0"/>
          <w:bCs/>
          <w:i w:val="0"/>
          <w:iCs/>
          <w:kern w:val="0"/>
          <w:sz w:val="32"/>
          <w:szCs w:val="32"/>
          <w:lang w:val="zh-CN"/>
        </w:rPr>
      </w:pPr>
      <w:r>
        <w:rPr>
          <w:rFonts w:hint="eastAsia" w:ascii="黑体" w:hAnsi="黑体" w:eastAsia="黑体" w:cs="黑体"/>
          <w:b w:val="0"/>
          <w:bCs/>
          <w:i w:val="0"/>
          <w:iCs/>
          <w:kern w:val="0"/>
          <w:sz w:val="32"/>
          <w:szCs w:val="32"/>
          <w:lang w:val="zh-CN"/>
        </w:rPr>
        <w:t>原卫生部、人事部印发的《临床医学专业技术资格考试暂行规定》（卫人发〔2000〕462号）和《预防医学、全科医学、药学、护理、其他卫生技术等专业技术资格考试暂行规定》（卫人发〔2001〕164号）中报名条件</w:t>
      </w:r>
    </w:p>
    <w:p>
      <w:pPr>
        <w:keepNext w:val="0"/>
        <w:keepLines w:val="0"/>
        <w:pageBreakBefore w:val="0"/>
        <w:widowControl w:val="0"/>
        <w:kinsoku/>
        <w:wordWrap/>
        <w:overflowPunct/>
        <w:topLinePunct w:val="0"/>
        <w:bidi w:val="0"/>
        <w:snapToGrid w:val="0"/>
        <w:spacing w:line="520" w:lineRule="exact"/>
        <w:ind w:firstLine="645"/>
        <w:textAlignment w:val="auto"/>
        <w:rPr>
          <w:rFonts w:hint="eastAsia" w:ascii="仿宋_GB2312" w:hAnsi="宋体" w:eastAsia="仿宋_GB2312"/>
          <w:b w:val="0"/>
          <w:i w:val="0"/>
          <w:kern w:val="0"/>
          <w:sz w:val="32"/>
        </w:rPr>
      </w:pPr>
      <w:r>
        <w:rPr>
          <w:rFonts w:hint="eastAsia" w:ascii="仿宋_GB2312" w:hAnsi="宋体" w:eastAsia="仿宋_GB2312"/>
          <w:b w:val="0"/>
          <w:i w:val="0"/>
          <w:kern w:val="0"/>
          <w:sz w:val="32"/>
          <w:lang w:eastAsia="zh-CN"/>
        </w:rPr>
        <w:t>一、</w:t>
      </w:r>
      <w:r>
        <w:rPr>
          <w:rFonts w:hint="eastAsia" w:ascii="仿宋_GB2312" w:eastAsia="仿宋_GB2312"/>
          <w:b w:val="0"/>
          <w:i w:val="0"/>
          <w:sz w:val="32"/>
        </w:rPr>
        <w:t xml:space="preserve"> 临床医学专业技术资格考试报名条件</w:t>
      </w:r>
    </w:p>
    <w:p>
      <w:pPr>
        <w:keepNext w:val="0"/>
        <w:keepLines w:val="0"/>
        <w:pageBreakBefore w:val="0"/>
        <w:kinsoku/>
        <w:overflowPunct/>
        <w:topLinePunct w:val="0"/>
        <w:autoSpaceDE w:val="0"/>
        <w:autoSpaceDN w:val="0"/>
        <w:bidi w:val="0"/>
        <w:adjustRightInd w:val="0"/>
        <w:spacing w:line="520" w:lineRule="exact"/>
        <w:ind w:firstLine="632"/>
        <w:textAlignment w:val="auto"/>
        <w:rPr>
          <w:rFonts w:hint="eastAsia" w:ascii="仿宋_GB2312" w:eastAsia="仿宋_GB2312" w:cs="仿宋_GB2312"/>
          <w:kern w:val="0"/>
          <w:lang w:val="zh-CN"/>
        </w:rPr>
      </w:pPr>
      <w:r>
        <w:rPr>
          <w:rFonts w:hint="eastAsia" w:ascii="仿宋_GB2312" w:eastAsia="仿宋_GB2312" w:cs="仿宋_GB2312"/>
          <w:kern w:val="0"/>
          <w:lang w:val="zh-CN" w:eastAsia="zh-CN"/>
        </w:rPr>
        <w:t>（一）</w:t>
      </w:r>
      <w:r>
        <w:rPr>
          <w:rFonts w:hint="eastAsia" w:ascii="仿宋_GB2312" w:eastAsia="仿宋_GB2312" w:cs="仿宋_GB2312"/>
          <w:kern w:val="0"/>
          <w:lang w:val="zh-CN"/>
        </w:rPr>
        <w:t>根据原卫生部、人事部《关于印发〈临床医学专业技术资格考试暂行规定〉的通知》（卫人发[2000]462号）文件精神，临床医学专业初级资格的考试按照《中华人民共和国执业医师法》的有关规定执行。</w:t>
      </w:r>
    </w:p>
    <w:p>
      <w:pPr>
        <w:keepNext w:val="0"/>
        <w:keepLines w:val="0"/>
        <w:pageBreakBefore w:val="0"/>
        <w:kinsoku/>
        <w:overflowPunct/>
        <w:topLinePunct w:val="0"/>
        <w:autoSpaceDE w:val="0"/>
        <w:autoSpaceDN w:val="0"/>
        <w:bidi w:val="0"/>
        <w:adjustRightInd w:val="0"/>
        <w:spacing w:line="520" w:lineRule="exact"/>
        <w:ind w:firstLine="632"/>
        <w:textAlignment w:val="auto"/>
        <w:rPr>
          <w:rFonts w:hint="eastAsia" w:ascii="仿宋_GB2312" w:eastAsia="仿宋_GB2312" w:cs="仿宋_GB2312"/>
          <w:kern w:val="0"/>
          <w:lang w:val="zh-CN" w:eastAsia="zh-CN"/>
        </w:rPr>
      </w:pPr>
      <w:r>
        <w:rPr>
          <w:rFonts w:hint="eastAsia" w:ascii="仿宋_GB2312" w:eastAsia="仿宋_GB2312" w:cs="仿宋_GB2312"/>
          <w:kern w:val="0"/>
          <w:lang w:val="zh-CN" w:eastAsia="zh-CN"/>
        </w:rPr>
        <w:t>（二）参加临床医学专业中级资格考试的人员，应具备下列基本条件：</w:t>
      </w:r>
    </w:p>
    <w:p>
      <w:pPr>
        <w:keepNext w:val="0"/>
        <w:keepLines w:val="0"/>
        <w:pageBreakBefore w:val="0"/>
        <w:kinsoku/>
        <w:overflowPunct/>
        <w:topLinePunct w:val="0"/>
        <w:autoSpaceDE w:val="0"/>
        <w:autoSpaceDN w:val="0"/>
        <w:bidi w:val="0"/>
        <w:adjustRightInd w:val="0"/>
        <w:spacing w:line="520" w:lineRule="exact"/>
        <w:ind w:firstLine="632"/>
        <w:textAlignment w:val="auto"/>
        <w:rPr>
          <w:rFonts w:hint="eastAsia" w:ascii="仿宋_GB2312" w:eastAsia="仿宋_GB2312" w:cs="仿宋_GB2312"/>
          <w:kern w:val="0"/>
          <w:lang w:val="zh-CN" w:eastAsia="zh-CN"/>
        </w:rPr>
      </w:pPr>
      <w:r>
        <w:rPr>
          <w:rFonts w:hint="eastAsia" w:ascii="仿宋_GB2312" w:eastAsia="仿宋_GB2312" w:cs="仿宋_GB2312"/>
          <w:kern w:val="0"/>
          <w:lang w:val="en-US" w:eastAsia="zh-CN"/>
        </w:rPr>
        <w:t>1、</w:t>
      </w:r>
      <w:r>
        <w:rPr>
          <w:rFonts w:hint="eastAsia" w:ascii="仿宋_GB2312" w:eastAsia="仿宋_GB2312" w:cs="仿宋_GB2312"/>
          <w:kern w:val="0"/>
          <w:lang w:val="zh-CN" w:eastAsia="zh-CN"/>
        </w:rPr>
        <w:t>遵守中华人民共和国的宪法和法律；</w:t>
      </w:r>
    </w:p>
    <w:p>
      <w:pPr>
        <w:keepNext w:val="0"/>
        <w:keepLines w:val="0"/>
        <w:pageBreakBefore w:val="0"/>
        <w:kinsoku/>
        <w:overflowPunct/>
        <w:topLinePunct w:val="0"/>
        <w:autoSpaceDE w:val="0"/>
        <w:autoSpaceDN w:val="0"/>
        <w:bidi w:val="0"/>
        <w:adjustRightInd w:val="0"/>
        <w:spacing w:line="520" w:lineRule="exact"/>
        <w:ind w:firstLine="632"/>
        <w:textAlignment w:val="auto"/>
        <w:rPr>
          <w:rFonts w:hint="eastAsia" w:ascii="仿宋_GB2312" w:eastAsia="仿宋_GB2312" w:cs="仿宋_GB2312"/>
          <w:kern w:val="0"/>
          <w:lang w:val="zh-CN" w:eastAsia="zh-CN"/>
        </w:rPr>
      </w:pPr>
      <w:r>
        <w:rPr>
          <w:rFonts w:hint="eastAsia" w:ascii="仿宋_GB2312" w:eastAsia="仿宋_GB2312" w:cs="仿宋_GB2312"/>
          <w:kern w:val="0"/>
          <w:lang w:val="en-US" w:eastAsia="zh-CN"/>
        </w:rPr>
        <w:t>2、</w:t>
      </w:r>
      <w:r>
        <w:rPr>
          <w:rFonts w:hint="eastAsia" w:ascii="仿宋_GB2312" w:eastAsia="仿宋_GB2312" w:cs="仿宋_GB2312"/>
          <w:kern w:val="0"/>
          <w:lang w:val="zh-CN" w:eastAsia="zh-CN"/>
        </w:rPr>
        <w:t>遵守《中华人民共和国执业医师法》，并取得执业医师资格；</w:t>
      </w:r>
    </w:p>
    <w:p>
      <w:pPr>
        <w:keepNext w:val="0"/>
        <w:keepLines w:val="0"/>
        <w:pageBreakBefore w:val="0"/>
        <w:kinsoku/>
        <w:overflowPunct/>
        <w:topLinePunct w:val="0"/>
        <w:autoSpaceDE w:val="0"/>
        <w:autoSpaceDN w:val="0"/>
        <w:bidi w:val="0"/>
        <w:adjustRightInd w:val="0"/>
        <w:spacing w:line="520" w:lineRule="exact"/>
        <w:ind w:firstLine="632"/>
        <w:textAlignment w:val="auto"/>
        <w:rPr>
          <w:rFonts w:hint="eastAsia" w:ascii="仿宋_GB2312" w:eastAsia="仿宋_GB2312" w:cs="仿宋_GB2312"/>
          <w:kern w:val="0"/>
          <w:lang w:val="zh-CN" w:eastAsia="zh-CN"/>
        </w:rPr>
      </w:pPr>
      <w:r>
        <w:rPr>
          <w:rFonts w:hint="eastAsia" w:ascii="仿宋_GB2312" w:eastAsia="仿宋_GB2312" w:cs="仿宋_GB2312"/>
          <w:kern w:val="0"/>
          <w:lang w:val="en-US" w:eastAsia="zh-CN"/>
        </w:rPr>
        <w:t>3、</w:t>
      </w:r>
      <w:r>
        <w:rPr>
          <w:rFonts w:hint="eastAsia" w:ascii="仿宋_GB2312" w:eastAsia="仿宋_GB2312" w:cs="仿宋_GB2312"/>
          <w:kern w:val="0"/>
          <w:lang w:val="zh-CN" w:eastAsia="zh-CN"/>
        </w:rPr>
        <w:t>具备良好的医德医风和敬业精神；</w:t>
      </w:r>
    </w:p>
    <w:p>
      <w:pPr>
        <w:keepNext w:val="0"/>
        <w:keepLines w:val="0"/>
        <w:pageBreakBefore w:val="0"/>
        <w:kinsoku/>
        <w:overflowPunct/>
        <w:topLinePunct w:val="0"/>
        <w:autoSpaceDE w:val="0"/>
        <w:autoSpaceDN w:val="0"/>
        <w:bidi w:val="0"/>
        <w:adjustRightInd w:val="0"/>
        <w:spacing w:line="520" w:lineRule="exact"/>
        <w:ind w:firstLine="632"/>
        <w:textAlignment w:val="auto"/>
        <w:rPr>
          <w:rFonts w:hint="eastAsia" w:ascii="仿宋_GB2312" w:eastAsia="仿宋_GB2312" w:cs="仿宋_GB2312"/>
          <w:kern w:val="0"/>
          <w:lang w:val="zh-CN" w:eastAsia="zh-CN"/>
        </w:rPr>
      </w:pPr>
      <w:r>
        <w:rPr>
          <w:rFonts w:hint="eastAsia" w:ascii="仿宋_GB2312" w:eastAsia="仿宋_GB2312" w:cs="仿宋_GB2312"/>
          <w:kern w:val="0"/>
          <w:lang w:val="en-US" w:eastAsia="zh-CN"/>
        </w:rPr>
        <w:t>4、</w:t>
      </w:r>
      <w:r>
        <w:rPr>
          <w:rFonts w:hint="eastAsia" w:ascii="仿宋_GB2312" w:eastAsia="仿宋_GB2312" w:cs="仿宋_GB2312"/>
          <w:kern w:val="0"/>
          <w:lang w:val="zh-CN" w:eastAsia="zh-CN"/>
        </w:rPr>
        <w:t>已实施住院医师规范化培训的医疗机构的医师须取得该培训合格证书。</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rPr>
        <w:t>除具备上述规定的基本条件外，还必须具备下列条件之一：</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1、</w:t>
      </w:r>
      <w:r>
        <w:rPr>
          <w:rFonts w:hint="eastAsia" w:ascii="仿宋_GB2312" w:eastAsia="仿宋_GB2312"/>
          <w:b w:val="0"/>
          <w:i w:val="0"/>
          <w:sz w:val="32"/>
        </w:rPr>
        <w:t>取得医学中专学历，受聘担任医师职务满7年。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2、</w:t>
      </w:r>
      <w:r>
        <w:rPr>
          <w:rFonts w:hint="eastAsia" w:ascii="仿宋_GB2312" w:eastAsia="仿宋_GB2312"/>
          <w:b w:val="0"/>
          <w:i w:val="0"/>
          <w:sz w:val="32"/>
        </w:rPr>
        <w:t>取得医学大专学历，从事医师工作满6年。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3、</w:t>
      </w:r>
      <w:r>
        <w:rPr>
          <w:rFonts w:hint="eastAsia" w:ascii="仿宋_GB2312" w:eastAsia="仿宋_GB2312"/>
          <w:b w:val="0"/>
          <w:i w:val="0"/>
          <w:sz w:val="32"/>
        </w:rPr>
        <w:t>取得医学本科学历，从事医师工作满4年。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4、</w:t>
      </w:r>
      <w:r>
        <w:rPr>
          <w:rFonts w:hint="eastAsia" w:ascii="仿宋_GB2312" w:eastAsia="仿宋_GB2312"/>
          <w:b w:val="0"/>
          <w:i w:val="0"/>
          <w:sz w:val="32"/>
        </w:rPr>
        <w:t>取得临床医学硕士专业学位，从事医师工作满2年。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5、</w:t>
      </w:r>
      <w:r>
        <w:rPr>
          <w:rFonts w:hint="eastAsia" w:ascii="仿宋_GB2312" w:eastAsia="仿宋_GB2312"/>
          <w:b w:val="0"/>
          <w:i w:val="0"/>
          <w:sz w:val="32"/>
        </w:rPr>
        <w:t>取得临床医学博士专业学位。</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宋体" w:eastAsia="仿宋_GB2312"/>
          <w:b w:val="0"/>
          <w:i w:val="0"/>
          <w:sz w:val="32"/>
        </w:rPr>
      </w:pPr>
      <w:r>
        <w:rPr>
          <w:rFonts w:hint="eastAsia" w:ascii="仿宋_GB2312" w:eastAsia="仿宋_GB2312"/>
          <w:b w:val="0"/>
          <w:i w:val="0"/>
          <w:sz w:val="32"/>
          <w:lang w:eastAsia="zh-CN"/>
        </w:rPr>
        <w:t>二、</w:t>
      </w:r>
      <w:r>
        <w:rPr>
          <w:rFonts w:hint="eastAsia" w:ascii="仿宋_GB2312" w:eastAsia="仿宋_GB2312"/>
          <w:b w:val="0"/>
          <w:i w:val="0"/>
          <w:sz w:val="32"/>
        </w:rPr>
        <w:t>预防医学、全科医学、</w:t>
      </w:r>
      <w:r>
        <w:rPr>
          <w:rFonts w:hint="eastAsia" w:ascii="仿宋_GB2312" w:hAnsi="宋体" w:eastAsia="仿宋_GB2312"/>
          <w:b w:val="0"/>
          <w:i w:val="0"/>
          <w:sz w:val="32"/>
        </w:rPr>
        <w:t>药学、护理、技术专业技术资格考试报名条件</w:t>
      </w:r>
    </w:p>
    <w:p>
      <w:pPr>
        <w:keepNext w:val="0"/>
        <w:keepLines w:val="0"/>
        <w:pageBreakBefore w:val="0"/>
        <w:widowControl w:val="0"/>
        <w:kinsoku/>
        <w:wordWrap/>
        <w:overflowPunct/>
        <w:topLinePunct w:val="0"/>
        <w:bidi w:val="0"/>
        <w:snapToGrid w:val="0"/>
        <w:spacing w:line="520" w:lineRule="exact"/>
        <w:textAlignment w:val="auto"/>
        <w:rPr>
          <w:rFonts w:hint="eastAsia" w:ascii="仿宋_GB2312" w:eastAsia="仿宋_GB2312"/>
          <w:b w:val="0"/>
          <w:i w:val="0"/>
          <w:sz w:val="32"/>
        </w:rPr>
      </w:pPr>
      <w:r>
        <w:rPr>
          <w:rFonts w:hint="eastAsia" w:ascii="仿宋_GB2312" w:eastAsia="仿宋_GB2312"/>
          <w:b w:val="0"/>
          <w:i w:val="0"/>
          <w:sz w:val="32"/>
        </w:rPr>
        <w:t xml:space="preserve">    </w:t>
      </w:r>
      <w:r>
        <w:rPr>
          <w:rFonts w:hint="eastAsia" w:ascii="仿宋_GB2312" w:eastAsia="仿宋_GB2312"/>
          <w:b w:val="0"/>
          <w:i w:val="0"/>
          <w:sz w:val="32"/>
          <w:lang w:eastAsia="zh-CN"/>
        </w:rPr>
        <w:t>（一）</w:t>
      </w:r>
      <w:r>
        <w:rPr>
          <w:rFonts w:hint="eastAsia" w:ascii="仿宋_GB2312" w:eastAsia="仿宋_GB2312"/>
          <w:b w:val="0"/>
          <w:i w:val="0"/>
          <w:sz w:val="32"/>
        </w:rPr>
        <w:t xml:space="preserve">根据原卫生部、人事部《关于印发〈预防医学、全科医学、药学、护理、其他卫生技术等专业技术资格考试暂行规定〉及〈临床医学、预防医学、全科医学、药学、护理、其他卫生技术等专业技术资格考试实施办法〉的通知》（卫人发[2001]164号）文件精神，参加预防医学、全科医学、药学、护理、技术专业技术资格考试的人员，应具备下列基本条件： </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1、</w:t>
      </w:r>
      <w:r>
        <w:rPr>
          <w:rFonts w:hint="eastAsia" w:ascii="仿宋_GB2312" w:eastAsia="仿宋_GB2312"/>
          <w:b w:val="0"/>
          <w:i w:val="0"/>
          <w:sz w:val="32"/>
        </w:rPr>
        <w:t>遵守中华人民共和国的宪法和法律；</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2、</w:t>
      </w:r>
      <w:r>
        <w:rPr>
          <w:rFonts w:hint="eastAsia" w:ascii="仿宋_GB2312" w:eastAsia="仿宋_GB2312"/>
          <w:b w:val="0"/>
          <w:i w:val="0"/>
          <w:sz w:val="32"/>
        </w:rPr>
        <w:t>具备良好的医德医风和敬业精神；</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（二）</w:t>
      </w:r>
      <w:r>
        <w:rPr>
          <w:rFonts w:hint="eastAsia" w:ascii="仿宋_GB2312" w:eastAsia="仿宋_GB2312"/>
          <w:b w:val="0"/>
          <w:i w:val="0"/>
          <w:sz w:val="32"/>
        </w:rPr>
        <w:t xml:space="preserve">参加药学、技术专业初级(士)资格考试的人员，除具备上述规定的基本条件外，还必须具备相应专业中专以上学历。 </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（三）</w:t>
      </w:r>
      <w:r>
        <w:rPr>
          <w:rFonts w:hint="eastAsia" w:ascii="仿宋_GB2312" w:eastAsia="仿宋_GB2312"/>
          <w:b w:val="0"/>
          <w:i w:val="0"/>
          <w:sz w:val="32"/>
        </w:rPr>
        <w:t>参加药学、护理、技术专业初级(师)资格考试的人员，除具备上述规定的基本条件外，还必须具备下列条件之一：</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1、</w:t>
      </w:r>
      <w:r>
        <w:rPr>
          <w:rFonts w:hint="eastAsia" w:ascii="仿宋_GB2312" w:eastAsia="仿宋_GB2312"/>
          <w:b w:val="0"/>
          <w:i w:val="0"/>
          <w:sz w:val="32"/>
        </w:rPr>
        <w:t>取得相应专业中专学历，受聘担任药（护、技）士职务满5年。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2、</w:t>
      </w:r>
      <w:r>
        <w:rPr>
          <w:rFonts w:hint="eastAsia" w:ascii="仿宋_GB2312" w:eastAsia="仿宋_GB2312"/>
          <w:b w:val="0"/>
          <w:i w:val="0"/>
          <w:sz w:val="32"/>
        </w:rPr>
        <w:t>取得相应专业大专学历，</w:t>
      </w:r>
      <w:r>
        <w:rPr>
          <w:rFonts w:hint="eastAsia" w:ascii="仿宋_GB2312" w:hAnsi="宋体" w:eastAsia="仿宋_GB2312"/>
          <w:b w:val="0"/>
          <w:i w:val="0"/>
          <w:sz w:val="32"/>
        </w:rPr>
        <w:t>从事本专业工作满3年</w:t>
      </w:r>
      <w:r>
        <w:rPr>
          <w:rFonts w:hint="eastAsia" w:ascii="仿宋_GB2312" w:eastAsia="仿宋_GB2312"/>
          <w:b w:val="0"/>
          <w:i w:val="0"/>
          <w:sz w:val="32"/>
        </w:rPr>
        <w:t>。</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val="en-US" w:eastAsia="zh-CN"/>
        </w:rPr>
        <w:t>3、</w:t>
      </w:r>
      <w:r>
        <w:rPr>
          <w:rFonts w:hint="eastAsia" w:ascii="仿宋_GB2312" w:eastAsia="仿宋_GB2312"/>
          <w:b w:val="0"/>
          <w:i w:val="0"/>
          <w:sz w:val="32"/>
        </w:rPr>
        <w:t>取得相应专业本科学历或硕士学位，</w:t>
      </w:r>
      <w:r>
        <w:rPr>
          <w:rFonts w:hint="eastAsia" w:ascii="仿宋_GB2312" w:hAnsi="宋体" w:eastAsia="仿宋_GB2312"/>
          <w:b w:val="0"/>
          <w:i w:val="0"/>
          <w:sz w:val="32"/>
        </w:rPr>
        <w:t>从事本专业工作满1年</w:t>
      </w:r>
      <w:r>
        <w:rPr>
          <w:rFonts w:hint="eastAsia" w:ascii="仿宋_GB2312" w:eastAsia="仿宋_GB2312"/>
          <w:b w:val="0"/>
          <w:i w:val="0"/>
          <w:sz w:val="32"/>
        </w:rPr>
        <w:t>。</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仿宋_GB2312" w:eastAsia="仿宋_GB2312"/>
          <w:b w:val="0"/>
          <w:i w:val="0"/>
          <w:snapToGrid w:val="0"/>
          <w:kern w:val="0"/>
          <w:sz w:val="32"/>
        </w:rPr>
      </w:pPr>
      <w:r>
        <w:rPr>
          <w:rFonts w:hint="eastAsia" w:ascii="仿宋_GB2312" w:hAnsi="仿宋_GB2312" w:eastAsia="仿宋_GB2312"/>
          <w:b w:val="0"/>
          <w:i w:val="0"/>
          <w:snapToGrid w:val="0"/>
          <w:kern w:val="0"/>
          <w:sz w:val="32"/>
          <w:lang w:eastAsia="zh-CN"/>
        </w:rPr>
        <w:t>（四）</w:t>
      </w:r>
      <w:r>
        <w:rPr>
          <w:rFonts w:hint="eastAsia" w:ascii="仿宋_GB2312" w:hAnsi="仿宋_GB2312" w:eastAsia="仿宋_GB2312"/>
          <w:b w:val="0"/>
          <w:i w:val="0"/>
          <w:snapToGrid w:val="0"/>
          <w:kern w:val="0"/>
          <w:sz w:val="32"/>
        </w:rPr>
        <w:t>参加预防医学、全科医学、药学、护理、技术专业中级资格考试的人员，除具备上述规定的基本条件外，还必须具备下列条件之一：</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仿宋_GB2312" w:eastAsia="仿宋_GB2312"/>
          <w:b w:val="0"/>
          <w:i w:val="0"/>
          <w:snapToGrid w:val="0"/>
          <w:kern w:val="0"/>
          <w:sz w:val="32"/>
        </w:rPr>
      </w:pPr>
      <w:r>
        <w:rPr>
          <w:rFonts w:hint="eastAsia" w:ascii="仿宋_GB2312" w:hAnsi="仿宋_GB2312" w:eastAsia="仿宋_GB2312"/>
          <w:b w:val="0"/>
          <w:i w:val="0"/>
          <w:snapToGrid w:val="0"/>
          <w:kern w:val="0"/>
          <w:sz w:val="32"/>
          <w:lang w:val="en-US" w:eastAsia="zh-CN"/>
        </w:rPr>
        <w:t>1、</w:t>
      </w:r>
      <w:r>
        <w:rPr>
          <w:rFonts w:hint="eastAsia" w:ascii="仿宋_GB2312" w:hAnsi="仿宋_GB2312" w:eastAsia="仿宋_GB2312"/>
          <w:b w:val="0"/>
          <w:i w:val="0"/>
          <w:snapToGrid w:val="0"/>
          <w:kern w:val="0"/>
          <w:sz w:val="32"/>
        </w:rPr>
        <w:t>取得相应专业中专学历，受聘担任医（药、护、技）师职务满7年。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仿宋_GB2312" w:eastAsia="仿宋_GB2312"/>
          <w:b w:val="0"/>
          <w:i w:val="0"/>
          <w:snapToGrid w:val="0"/>
          <w:kern w:val="0"/>
          <w:sz w:val="32"/>
        </w:rPr>
      </w:pPr>
      <w:r>
        <w:rPr>
          <w:rFonts w:hint="eastAsia" w:ascii="仿宋_GB2312" w:hAnsi="仿宋_GB2312" w:eastAsia="仿宋_GB2312"/>
          <w:b w:val="0"/>
          <w:i w:val="0"/>
          <w:snapToGrid w:val="0"/>
          <w:kern w:val="0"/>
          <w:sz w:val="32"/>
          <w:lang w:val="en-US" w:eastAsia="zh-CN"/>
        </w:rPr>
        <w:t>2、</w:t>
      </w:r>
      <w:r>
        <w:rPr>
          <w:rFonts w:hint="eastAsia" w:ascii="仿宋_GB2312" w:hAnsi="仿宋_GB2312" w:eastAsia="仿宋_GB2312"/>
          <w:b w:val="0"/>
          <w:i w:val="0"/>
          <w:snapToGrid w:val="0"/>
          <w:kern w:val="0"/>
          <w:sz w:val="32"/>
        </w:rPr>
        <w:t>取得相应专业大专学历，从事医（药、护、技）师工作满6年。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仿宋_GB2312" w:eastAsia="仿宋_GB2312"/>
          <w:b w:val="0"/>
          <w:i w:val="0"/>
          <w:snapToGrid w:val="0"/>
          <w:kern w:val="0"/>
          <w:sz w:val="32"/>
        </w:rPr>
      </w:pPr>
      <w:r>
        <w:rPr>
          <w:rFonts w:hint="eastAsia" w:ascii="仿宋_GB2312" w:hAnsi="仿宋_GB2312" w:eastAsia="仿宋_GB2312"/>
          <w:b w:val="0"/>
          <w:i w:val="0"/>
          <w:snapToGrid w:val="0"/>
          <w:kern w:val="0"/>
          <w:sz w:val="32"/>
          <w:lang w:val="en-US" w:eastAsia="zh-CN"/>
        </w:rPr>
        <w:t>3、</w:t>
      </w:r>
      <w:r>
        <w:rPr>
          <w:rFonts w:hint="eastAsia" w:ascii="仿宋_GB2312" w:hAnsi="仿宋_GB2312" w:eastAsia="仿宋_GB2312"/>
          <w:b w:val="0"/>
          <w:i w:val="0"/>
          <w:snapToGrid w:val="0"/>
          <w:kern w:val="0"/>
          <w:sz w:val="32"/>
        </w:rPr>
        <w:t>取得相应专业本科学历，从事医（药、护、技）师工作满4年。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仿宋_GB2312" w:eastAsia="仿宋_GB2312"/>
          <w:b w:val="0"/>
          <w:i w:val="0"/>
          <w:snapToGrid w:val="0"/>
          <w:kern w:val="0"/>
          <w:sz w:val="32"/>
        </w:rPr>
      </w:pPr>
      <w:r>
        <w:rPr>
          <w:rFonts w:hint="eastAsia" w:ascii="仿宋_GB2312" w:hAnsi="仿宋_GB2312" w:eastAsia="仿宋_GB2312"/>
          <w:b w:val="0"/>
          <w:i w:val="0"/>
          <w:snapToGrid w:val="0"/>
          <w:kern w:val="0"/>
          <w:sz w:val="32"/>
          <w:lang w:val="en-US" w:eastAsia="zh-CN"/>
        </w:rPr>
        <w:t>4、</w:t>
      </w:r>
      <w:r>
        <w:rPr>
          <w:rFonts w:hint="eastAsia" w:ascii="仿宋_GB2312" w:hAnsi="仿宋_GB2312" w:eastAsia="仿宋_GB2312"/>
          <w:b w:val="0"/>
          <w:i w:val="0"/>
          <w:snapToGrid w:val="0"/>
          <w:kern w:val="0"/>
          <w:sz w:val="32"/>
        </w:rPr>
        <w:t>取得相应专业硕士学位，从事医（药、护、技）师工作满2年。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仿宋_GB2312" w:eastAsia="仿宋_GB2312"/>
          <w:b w:val="0"/>
          <w:i w:val="0"/>
          <w:snapToGrid w:val="0"/>
          <w:kern w:val="0"/>
          <w:sz w:val="32"/>
        </w:rPr>
      </w:pPr>
      <w:r>
        <w:rPr>
          <w:rFonts w:hint="eastAsia" w:ascii="仿宋_GB2312" w:hAnsi="仿宋_GB2312" w:eastAsia="仿宋_GB2312"/>
          <w:b w:val="0"/>
          <w:i w:val="0"/>
          <w:snapToGrid w:val="0"/>
          <w:kern w:val="0"/>
          <w:sz w:val="32"/>
          <w:lang w:val="en-US" w:eastAsia="zh-CN"/>
        </w:rPr>
        <w:t>5、</w:t>
      </w:r>
      <w:r>
        <w:rPr>
          <w:rFonts w:hint="eastAsia" w:ascii="仿宋_GB2312" w:hAnsi="仿宋_GB2312" w:eastAsia="仿宋_GB2312"/>
          <w:b w:val="0"/>
          <w:i w:val="0"/>
          <w:snapToGrid w:val="0"/>
          <w:kern w:val="0"/>
          <w:sz w:val="32"/>
        </w:rPr>
        <w:t xml:space="preserve">取得相应专业博士学位。 </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三、</w:t>
      </w:r>
      <w:r>
        <w:rPr>
          <w:rFonts w:hint="eastAsia" w:ascii="仿宋_GB2312" w:eastAsia="仿宋_GB2312"/>
          <w:b w:val="0"/>
          <w:i w:val="0"/>
          <w:sz w:val="32"/>
        </w:rPr>
        <w:t xml:space="preserve">有下列情形之一的，不得申请参加临床医学、预防医学、全科医学、药学、护理、技术专业技术资格的考试： </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（一）</w:t>
      </w:r>
      <w:r>
        <w:rPr>
          <w:rFonts w:hint="eastAsia" w:ascii="仿宋_GB2312" w:eastAsia="仿宋_GB2312"/>
          <w:b w:val="0"/>
          <w:i w:val="0"/>
          <w:sz w:val="32"/>
        </w:rPr>
        <w:t xml:space="preserve">医疗事故责任者未满3年。 </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（二）</w:t>
      </w:r>
      <w:r>
        <w:rPr>
          <w:rFonts w:hint="eastAsia" w:ascii="仿宋_GB2312" w:eastAsia="仿宋_GB2312"/>
          <w:b w:val="0"/>
          <w:i w:val="0"/>
          <w:sz w:val="32"/>
        </w:rPr>
        <w:t xml:space="preserve">医疗差错责任者未满1年。 </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（三）</w:t>
      </w:r>
      <w:r>
        <w:rPr>
          <w:rFonts w:hint="eastAsia" w:ascii="仿宋_GB2312" w:eastAsia="仿宋_GB2312"/>
          <w:b w:val="0"/>
          <w:i w:val="0"/>
          <w:sz w:val="32"/>
        </w:rPr>
        <w:t>受到行政处分者在处分时期内。</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（四）</w:t>
      </w:r>
      <w:r>
        <w:rPr>
          <w:rFonts w:hint="eastAsia" w:ascii="仿宋_GB2312" w:eastAsia="仿宋_GB2312"/>
          <w:b w:val="0"/>
          <w:i w:val="0"/>
          <w:sz w:val="32"/>
        </w:rPr>
        <w:t>伪造学历或考试期间有违纪行为未满2年。</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lang w:eastAsia="zh-CN"/>
        </w:rPr>
        <w:t>（五）</w:t>
      </w:r>
      <w:r>
        <w:rPr>
          <w:rFonts w:hint="eastAsia" w:ascii="仿宋_GB2312" w:eastAsia="仿宋_GB2312"/>
          <w:b w:val="0"/>
          <w:i w:val="0"/>
          <w:sz w:val="32"/>
        </w:rPr>
        <w:t>省级卫生行政部门规定的其他情形。</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hAnsi="宋体" w:eastAsia="仿宋_GB2312"/>
          <w:b w:val="0"/>
          <w:i w:val="0"/>
          <w:kern w:val="0"/>
          <w:sz w:val="32"/>
          <w:lang w:eastAsia="zh-CN"/>
        </w:rPr>
        <w:t>四、</w:t>
      </w:r>
      <w:r>
        <w:rPr>
          <w:rFonts w:hint="eastAsia" w:ascii="仿宋_GB2312" w:eastAsia="仿宋_GB2312"/>
          <w:b w:val="0"/>
          <w:i w:val="0"/>
          <w:sz w:val="32"/>
        </w:rPr>
        <w:t>按照《关于加强城市社区卫生人才队伍建设的指导意见》（国人部发〔2006〕69号）和《中共山东省委山东省人民政府关于进一步加强农村卫生工作的决定》（鲁发〔2003〕3号）的有关规定和精神，凡到社区卫生服务机构和乡镇卫生院工作的医师、护师，可提前</w:t>
      </w:r>
      <w:r>
        <w:rPr>
          <w:rFonts w:hint="eastAsia" w:ascii="仿宋_GB2312" w:eastAsia="仿宋_GB2312"/>
          <w:b w:val="0"/>
          <w:i w:val="0"/>
          <w:sz w:val="32"/>
          <w:lang w:val="en-US" w:eastAsia="zh-CN"/>
        </w:rPr>
        <w:t>一</w:t>
      </w:r>
      <w:r>
        <w:rPr>
          <w:rFonts w:hint="eastAsia" w:ascii="仿宋_GB2312" w:eastAsia="仿宋_GB2312"/>
          <w:b w:val="0"/>
          <w:i w:val="0"/>
          <w:sz w:val="32"/>
        </w:rPr>
        <w:t>年参加卫生</w:t>
      </w:r>
      <w:r>
        <w:rPr>
          <w:rFonts w:hint="eastAsia" w:ascii="仿宋_GB2312" w:eastAsia="仿宋_GB2312"/>
          <w:b w:val="0"/>
          <w:i w:val="0"/>
          <w:sz w:val="32"/>
          <w:lang w:eastAsia="zh-CN"/>
        </w:rPr>
        <w:t>专业</w:t>
      </w:r>
      <w:r>
        <w:rPr>
          <w:rFonts w:hint="eastAsia" w:ascii="仿宋_GB2312" w:eastAsia="仿宋_GB2312"/>
          <w:b w:val="0"/>
          <w:i w:val="0"/>
          <w:sz w:val="32"/>
        </w:rPr>
        <w:t>中级</w:t>
      </w:r>
      <w:r>
        <w:rPr>
          <w:rFonts w:hint="eastAsia" w:ascii="仿宋_GB2312" w:eastAsia="仿宋_GB2312"/>
          <w:b w:val="0"/>
          <w:i w:val="0"/>
          <w:sz w:val="32"/>
          <w:lang w:eastAsia="zh-CN"/>
        </w:rPr>
        <w:t>技术</w:t>
      </w:r>
      <w:r>
        <w:rPr>
          <w:rFonts w:hint="eastAsia" w:ascii="仿宋_GB2312" w:eastAsia="仿宋_GB2312"/>
          <w:b w:val="0"/>
          <w:i w:val="0"/>
          <w:sz w:val="32"/>
        </w:rPr>
        <w:t>资格的全科医学、社区护理专业类别的考试。</w:t>
      </w:r>
    </w:p>
    <w:p>
      <w:pPr>
        <w:keepNext w:val="0"/>
        <w:keepLines w:val="0"/>
        <w:pageBreakBefore w:val="0"/>
        <w:widowControl w:val="0"/>
        <w:kinsoku/>
        <w:wordWrap/>
        <w:overflowPunct/>
        <w:topLinePunct w:val="0"/>
        <w:bidi w:val="0"/>
        <w:adjustRightInd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cs="仿宋_GB2312"/>
          <w:b w:val="0"/>
          <w:bCs/>
          <w:i w:val="0"/>
          <w:iCs/>
          <w:kern w:val="0"/>
          <w:sz w:val="32"/>
          <w:szCs w:val="32"/>
          <w:highlight w:val="white"/>
          <w:lang w:val="zh-CN"/>
        </w:rPr>
        <w:t>五、按照《国务院办公厅关于深化医教协同进一步推进医学教育改革与发展的意见》（国办发〔</w:t>
      </w:r>
      <w:r>
        <w:rPr>
          <w:rFonts w:ascii="仿宋_GB2312" w:eastAsia="仿宋_GB2312" w:cs="仿宋_GB2312"/>
          <w:b w:val="0"/>
          <w:bCs/>
          <w:i w:val="0"/>
          <w:iCs/>
          <w:kern w:val="0"/>
          <w:sz w:val="32"/>
          <w:szCs w:val="32"/>
          <w:highlight w:val="white"/>
          <w:lang w:val="zh-CN"/>
        </w:rPr>
        <w:t>2017</w:t>
      </w:r>
      <w:r>
        <w:rPr>
          <w:rFonts w:hint="eastAsia" w:ascii="仿宋_GB2312" w:eastAsia="仿宋_GB2312" w:cs="仿宋_GB2312"/>
          <w:b w:val="0"/>
          <w:bCs/>
          <w:i w:val="0"/>
          <w:iCs/>
          <w:kern w:val="0"/>
          <w:sz w:val="32"/>
          <w:szCs w:val="32"/>
          <w:highlight w:val="white"/>
          <w:lang w:val="zh-CN"/>
        </w:rPr>
        <w:t>〕</w:t>
      </w:r>
      <w:r>
        <w:rPr>
          <w:rFonts w:ascii="仿宋_GB2312" w:eastAsia="仿宋_GB2312" w:cs="仿宋_GB2312"/>
          <w:b w:val="0"/>
          <w:bCs/>
          <w:i w:val="0"/>
          <w:iCs/>
          <w:kern w:val="0"/>
          <w:sz w:val="32"/>
          <w:szCs w:val="32"/>
          <w:highlight w:val="white"/>
          <w:lang w:val="zh-CN"/>
        </w:rPr>
        <w:t>63</w:t>
      </w:r>
      <w:r>
        <w:rPr>
          <w:rFonts w:hint="eastAsia" w:ascii="仿宋_GB2312" w:eastAsia="仿宋_GB2312" w:cs="仿宋_GB2312"/>
          <w:b w:val="0"/>
          <w:bCs/>
          <w:i w:val="0"/>
          <w:iCs/>
          <w:kern w:val="0"/>
          <w:sz w:val="32"/>
          <w:szCs w:val="32"/>
          <w:highlight w:val="white"/>
          <w:lang w:val="zh-CN"/>
        </w:rPr>
        <w:t>号）有关规定，本科及以上学历毕业生参加住院医师规范化培训合格并到基层医疗卫生机构（新疆、西藏及四省藏区等艰苦边远地区可放宽到县级医疗卫生机构）工作的，可直接参加中级职称考试。</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宋体" w:eastAsia="仿宋_GB2312"/>
          <w:b w:val="0"/>
          <w:i w:val="0"/>
          <w:kern w:val="0"/>
          <w:sz w:val="32"/>
        </w:rPr>
      </w:pPr>
      <w:r>
        <w:rPr>
          <w:rFonts w:hint="eastAsia" w:ascii="仿宋_GB2312" w:hAnsi="宋体" w:eastAsia="仿宋_GB2312"/>
          <w:b w:val="0"/>
          <w:i w:val="0"/>
          <w:kern w:val="0"/>
          <w:sz w:val="32"/>
          <w:lang w:eastAsia="zh-CN"/>
        </w:rPr>
        <w:t>六、</w:t>
      </w:r>
      <w:r>
        <w:rPr>
          <w:rFonts w:hint="eastAsia" w:ascii="仿宋_GB2312" w:hAnsi="宋体" w:eastAsia="仿宋_GB2312"/>
          <w:b w:val="0"/>
          <w:i w:val="0"/>
          <w:kern w:val="0"/>
          <w:sz w:val="32"/>
        </w:rPr>
        <w:t>报名参加20</w:t>
      </w:r>
      <w:r>
        <w:rPr>
          <w:rFonts w:hint="eastAsia" w:ascii="仿宋_GB2312" w:hAnsi="宋体" w:eastAsia="仿宋_GB2312"/>
          <w:b w:val="0"/>
          <w:i w:val="0"/>
          <w:kern w:val="0"/>
          <w:sz w:val="32"/>
          <w:lang w:val="en-US" w:eastAsia="zh-CN"/>
        </w:rPr>
        <w:t>20</w:t>
      </w:r>
      <w:r>
        <w:rPr>
          <w:rFonts w:hint="eastAsia" w:ascii="仿宋_GB2312" w:hAnsi="宋体" w:eastAsia="仿宋_GB2312"/>
          <w:b w:val="0"/>
          <w:i w:val="0"/>
          <w:kern w:val="0"/>
          <w:sz w:val="32"/>
        </w:rPr>
        <w:t>年度卫生专业技术资格各级别考试的人员，其学历取得时间和从事本专业工作年限均截止到201</w:t>
      </w:r>
      <w:r>
        <w:rPr>
          <w:rFonts w:hint="eastAsia" w:ascii="仿宋_GB2312" w:hAnsi="宋体" w:eastAsia="仿宋_GB2312"/>
          <w:b w:val="0"/>
          <w:i w:val="0"/>
          <w:kern w:val="0"/>
          <w:sz w:val="32"/>
          <w:lang w:val="en-US" w:eastAsia="zh-CN"/>
        </w:rPr>
        <w:t>9</w:t>
      </w:r>
      <w:r>
        <w:rPr>
          <w:rFonts w:hint="eastAsia" w:ascii="仿宋_GB2312" w:hAnsi="宋体" w:eastAsia="仿宋_GB2312"/>
          <w:b w:val="0"/>
          <w:i w:val="0"/>
          <w:kern w:val="0"/>
          <w:sz w:val="32"/>
        </w:rPr>
        <w:t>年12月31日。报名条件中有关专业学历或学位的规定，是指国家教育</w:t>
      </w:r>
      <w:r>
        <w:rPr>
          <w:rFonts w:hint="eastAsia" w:ascii="仿宋_GB2312" w:hAnsi="宋体" w:eastAsia="仿宋_GB2312"/>
          <w:b w:val="0"/>
          <w:i w:val="0"/>
          <w:kern w:val="0"/>
          <w:sz w:val="32"/>
          <w:lang w:eastAsia="zh-CN"/>
        </w:rPr>
        <w:t>和</w:t>
      </w:r>
      <w:r>
        <w:rPr>
          <w:rFonts w:hint="eastAsia" w:ascii="仿宋_GB2312" w:hAnsi="宋体" w:eastAsia="仿宋_GB2312"/>
          <w:b w:val="0"/>
          <w:i w:val="0"/>
          <w:kern w:val="0"/>
          <w:sz w:val="32"/>
        </w:rPr>
        <w:t>卫生</w:t>
      </w:r>
      <w:r>
        <w:rPr>
          <w:rFonts w:hint="eastAsia" w:ascii="仿宋_GB2312" w:hAnsi="宋体" w:eastAsia="仿宋_GB2312"/>
          <w:b w:val="0"/>
          <w:i w:val="0"/>
          <w:kern w:val="0"/>
          <w:sz w:val="32"/>
          <w:lang w:eastAsia="zh-CN"/>
        </w:rPr>
        <w:t>健康</w:t>
      </w:r>
      <w:r>
        <w:rPr>
          <w:rFonts w:hint="eastAsia" w:ascii="仿宋_GB2312" w:hAnsi="宋体" w:eastAsia="仿宋_GB2312"/>
          <w:b w:val="0"/>
          <w:i w:val="0"/>
          <w:kern w:val="0"/>
          <w:sz w:val="32"/>
        </w:rPr>
        <w:t>行政部门认可的正规院校毕业学历或学位。</w:t>
      </w:r>
    </w:p>
    <w:p>
      <w:pPr>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hAnsi="宋体" w:eastAsia="仿宋_GB2312"/>
          <w:b w:val="0"/>
          <w:i w:val="0"/>
          <w:kern w:val="0"/>
          <w:sz w:val="32"/>
        </w:rPr>
      </w:pPr>
      <w:r>
        <w:rPr>
          <w:rFonts w:hint="eastAsia" w:ascii="仿宋_GB2312" w:hAnsi="宋体" w:eastAsia="仿宋_GB2312"/>
          <w:b w:val="0"/>
          <w:i w:val="0"/>
          <w:kern w:val="0"/>
          <w:sz w:val="32"/>
          <w:lang w:eastAsia="zh-CN"/>
        </w:rPr>
        <w:t>七、</w:t>
      </w:r>
      <w:r>
        <w:rPr>
          <w:rFonts w:hint="eastAsia" w:ascii="仿宋_GB2312" w:hAnsi="宋体" w:eastAsia="仿宋_GB2312"/>
          <w:b w:val="0"/>
          <w:i w:val="0"/>
          <w:kern w:val="0"/>
          <w:sz w:val="32"/>
        </w:rPr>
        <w:t>凡报考《卫生专业技术资格考试专业目录》中专业代码为301至365</w:t>
      </w:r>
      <w:r>
        <w:rPr>
          <w:rFonts w:hint="eastAsia" w:ascii="仿宋_GB2312" w:hAnsi="宋体" w:eastAsia="仿宋_GB2312"/>
          <w:b w:val="0"/>
          <w:i w:val="0"/>
          <w:kern w:val="0"/>
          <w:sz w:val="32"/>
          <w:lang w:eastAsia="zh-CN"/>
        </w:rPr>
        <w:t>以及</w:t>
      </w:r>
      <w:r>
        <w:rPr>
          <w:rFonts w:hint="eastAsia" w:ascii="仿宋_GB2312" w:hAnsi="宋体" w:eastAsia="仿宋_GB2312"/>
          <w:b w:val="0"/>
          <w:i w:val="0"/>
          <w:kern w:val="0"/>
          <w:sz w:val="32"/>
          <w:lang w:val="en-US" w:eastAsia="zh-CN"/>
        </w:rPr>
        <w:t>392</w:t>
      </w:r>
      <w:r>
        <w:rPr>
          <w:rFonts w:hint="eastAsia" w:ascii="仿宋_GB2312" w:hAnsi="宋体" w:eastAsia="仿宋_GB2312"/>
          <w:b w:val="0"/>
          <w:i w:val="0"/>
          <w:kern w:val="0"/>
          <w:sz w:val="32"/>
        </w:rPr>
        <w:t>专业的人员，应具有相应专业执业医师资格，并在报名时提交相应专业执业医师资格证书。因工作岗位变动，需报考现岗位专业类别的人员，其从事现岗位专业工作时间须满2年。</w:t>
      </w:r>
    </w:p>
    <w:p>
      <w:pPr>
        <w:pStyle w:val="10"/>
        <w:keepNext w:val="0"/>
        <w:keepLines w:val="0"/>
        <w:pageBreakBefore w:val="0"/>
        <w:widowControl w:val="0"/>
        <w:kinsoku/>
        <w:wordWrap/>
        <w:overflowPunct/>
        <w:topLinePunct w:val="0"/>
        <w:bidi w:val="0"/>
        <w:snapToGrid w:val="0"/>
        <w:spacing w:line="520" w:lineRule="exact"/>
        <w:ind w:firstLine="632" w:firstLineChars="200"/>
        <w:textAlignment w:val="auto"/>
        <w:rPr>
          <w:rFonts w:hint="eastAsia" w:ascii="仿宋_GB2312" w:eastAsia="仿宋_GB2312"/>
          <w:sz w:val="32"/>
        </w:rPr>
      </w:pPr>
      <w:r>
        <w:rPr>
          <w:rFonts w:hint="eastAsia" w:ascii="仿宋_GB2312" w:hAnsi="华文中宋" w:eastAsia="仿宋_GB2312"/>
          <w:sz w:val="32"/>
          <w:lang w:eastAsia="zh-CN"/>
        </w:rPr>
        <w:t>八、</w:t>
      </w:r>
      <w:r>
        <w:rPr>
          <w:rFonts w:hint="eastAsia" w:ascii="仿宋_GB2312" w:hAnsi="华文中宋" w:eastAsia="仿宋_GB2312"/>
          <w:sz w:val="32"/>
        </w:rPr>
        <w:t>根据《</w:t>
      </w:r>
      <w:r>
        <w:rPr>
          <w:rFonts w:hint="eastAsia" w:ascii="仿宋_GB2312" w:eastAsia="仿宋_GB2312"/>
          <w:sz w:val="32"/>
          <w:highlight w:val="white"/>
        </w:rPr>
        <w:t>关于完善住院医师规范化</w:t>
      </w:r>
      <w:r>
        <w:rPr>
          <w:rFonts w:hint="eastAsia" w:ascii="仿宋_GB2312" w:eastAsia="仿宋_GB2312"/>
          <w:sz w:val="32"/>
        </w:rPr>
        <w:t>培训制度</w:t>
      </w:r>
      <w:r>
        <w:rPr>
          <w:rFonts w:hint="eastAsia" w:ascii="仿宋_GB2312" w:eastAsia="仿宋_GB2312"/>
          <w:sz w:val="32"/>
          <w:highlight w:val="white"/>
        </w:rPr>
        <w:t>人事管理有关问题的通知</w:t>
      </w:r>
      <w:r>
        <w:rPr>
          <w:rFonts w:hint="eastAsia" w:ascii="仿宋_GB2312" w:eastAsia="仿宋_GB2312"/>
          <w:sz w:val="32"/>
        </w:rPr>
        <w:t>》（鲁卫人字〔2015〕17号）</w:t>
      </w:r>
      <w:r>
        <w:rPr>
          <w:rFonts w:hint="eastAsia" w:ascii="仿宋_GB2312" w:hAnsi="华文中宋" w:eastAsia="仿宋_GB2312"/>
          <w:sz w:val="32"/>
        </w:rPr>
        <w:t>的有关规定，</w:t>
      </w:r>
      <w:r>
        <w:rPr>
          <w:rFonts w:hint="eastAsia" w:ascii="仿宋_GB2312" w:eastAsia="仿宋_GB2312"/>
          <w:sz w:val="32"/>
          <w:highlight w:val="white"/>
        </w:rPr>
        <w:t>2013年以后(包括2013年)各级各类医疗机构招聘的从事临床类专业岗位的本科以上学历毕业生, 自2016年(中医临床类专业自2018年)起报考相应专业中级专业技术资格考试时,必须提交《住院医师规范化培训合格证书》。</w:t>
      </w:r>
    </w:p>
    <w:p>
      <w:pPr>
        <w:pStyle w:val="10"/>
        <w:keepNext w:val="0"/>
        <w:keepLines w:val="0"/>
        <w:pageBreakBefore w:val="0"/>
        <w:widowControl w:val="0"/>
        <w:kinsoku/>
        <w:wordWrap/>
        <w:overflowPunct/>
        <w:topLinePunct w:val="0"/>
        <w:bidi w:val="0"/>
        <w:snapToGrid w:val="0"/>
        <w:spacing w:line="520" w:lineRule="exact"/>
        <w:ind w:firstLine="752"/>
        <w:textAlignment w:val="auto"/>
        <w:rPr>
          <w:rFonts w:hint="eastAsia" w:ascii="仿宋_GB2312" w:eastAsia="仿宋_GB2312"/>
          <w:sz w:val="32"/>
        </w:rPr>
      </w:pPr>
      <w:r>
        <w:rPr>
          <w:rFonts w:hint="eastAsia" w:ascii="仿宋_GB2312" w:eastAsia="仿宋_GB2312"/>
          <w:sz w:val="32"/>
          <w:highlight w:val="white"/>
        </w:rPr>
        <w:t>2013年以前各级各类医疗机构招聘的从事临床类专业岗位的本科以上学历毕业生, 报考临床医学专业中级资格考试的人员仍按原规定执行, 即已实施住院医师规范化培训的医疗机构的医师须提交《住院医师规范化培训合格证书》, 未实施住院医师规范化培训的医疗机构的医师可不提交《住院医师规范化培训合格证书》。</w:t>
      </w:r>
    </w:p>
    <w:p>
      <w:pPr>
        <w:keepNext w:val="0"/>
        <w:keepLines w:val="0"/>
        <w:pageBreakBefore w:val="0"/>
        <w:widowControl w:val="0"/>
        <w:kinsoku/>
        <w:wordWrap/>
        <w:overflowPunct/>
        <w:topLinePunct w:val="0"/>
        <w:bidi w:val="0"/>
        <w:adjustRightInd w:val="0"/>
        <w:snapToGrid w:val="0"/>
        <w:spacing w:line="520" w:lineRule="exact"/>
        <w:ind w:firstLine="632" w:firstLineChars="200"/>
        <w:textAlignment w:val="auto"/>
        <w:rPr>
          <w:rFonts w:hint="eastAsia" w:ascii="仿宋_GB2312" w:eastAsia="仿宋_GB2312"/>
          <w:b w:val="0"/>
          <w:i w:val="0"/>
          <w:sz w:val="32"/>
        </w:rPr>
      </w:pPr>
      <w:r>
        <w:rPr>
          <w:rFonts w:hint="eastAsia" w:ascii="仿宋_GB2312" w:eastAsia="仿宋_GB2312"/>
          <w:b w:val="0"/>
          <w:i w:val="0"/>
          <w:sz w:val="32"/>
          <w:highlight w:val="white"/>
        </w:rPr>
        <w:t>住院医师规范化培训合格者到基层医疗卫生机构 (乡镇卫生院、社区卫生服务机构)工作,可提前1年参加全国卫生专业技术中级资格考试</w:t>
      </w:r>
      <w:r>
        <w:rPr>
          <w:rFonts w:hint="eastAsia" w:ascii="仿宋_GB2312" w:eastAsia="仿宋_GB2312"/>
          <w:b w:val="0"/>
          <w:i w:val="0"/>
          <w:sz w:val="32"/>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629"/>
        <w:textAlignment w:val="auto"/>
        <w:rPr>
          <w:rFonts w:hint="eastAsia" w:ascii="仿宋_GB2312" w:hAnsi="华文中宋" w:eastAsia="仿宋_GB2312"/>
          <w:b w:val="0"/>
          <w:i w:val="0"/>
          <w:sz w:val="32"/>
        </w:rPr>
      </w:pPr>
      <w:r>
        <w:rPr>
          <w:rFonts w:hint="eastAsia" w:ascii="仿宋_GB2312" w:hAnsi="华文中宋" w:eastAsia="仿宋_GB2312"/>
          <w:b w:val="0"/>
          <w:bCs/>
          <w:i w:val="0"/>
          <w:iCs/>
          <w:sz w:val="32"/>
          <w:lang w:eastAsia="zh-CN"/>
        </w:rPr>
        <w:t>九、</w:t>
      </w:r>
      <w:r>
        <w:rPr>
          <w:rFonts w:hint="eastAsia" w:ascii="仿宋_GB2312" w:hAnsi="华文中宋" w:eastAsia="仿宋_GB2312"/>
          <w:b w:val="0"/>
          <w:i w:val="0"/>
          <w:sz w:val="32"/>
        </w:rPr>
        <w:t>按照《港澳台居民居住证申领发放办法》（国办发〔2018〕81号）和《中共中央组织部 人力资源社会保障部 公安部等25部门关于印发&lt;外国人在中国永久居留享有相关待遇的办法&gt;的通知》（人社部发〔2012〕53号）要求，香港、澳门、台湾居民以及持有中国《外国人永久居留证》的外籍人员可按规定参加卫生专业技术资格考试。</w:t>
      </w:r>
    </w:p>
    <w:p>
      <w:pPr>
        <w:keepNext w:val="0"/>
        <w:keepLines w:val="0"/>
        <w:pageBreakBefore w:val="0"/>
        <w:kinsoku/>
        <w:wordWrap/>
        <w:overflowPunct/>
        <w:topLinePunct w:val="0"/>
        <w:autoSpaceDE w:val="0"/>
        <w:autoSpaceDN w:val="0"/>
        <w:bidi w:val="0"/>
        <w:adjustRightInd w:val="0"/>
        <w:spacing w:line="520" w:lineRule="exact"/>
        <w:ind w:firstLine="632"/>
        <w:textAlignment w:val="auto"/>
        <w:rPr>
          <w:rFonts w:ascii="仿宋_GB2312" w:eastAsia="仿宋_GB2312" w:cs="仿宋_GB2312"/>
          <w:b w:val="0"/>
          <w:bCs/>
          <w:i w:val="0"/>
          <w:iCs/>
          <w:kern w:val="0"/>
          <w:sz w:val="32"/>
          <w:szCs w:val="32"/>
          <w:lang w:val="zh-CN"/>
        </w:rPr>
      </w:pPr>
      <w:r>
        <w:rPr>
          <w:rFonts w:hint="eastAsia" w:ascii="仿宋_GB2312" w:eastAsia="仿宋_GB2312" w:cs="仿宋_GB2312"/>
          <w:b w:val="0"/>
          <w:bCs/>
          <w:i w:val="0"/>
          <w:iCs/>
          <w:kern w:val="0"/>
          <w:sz w:val="32"/>
          <w:szCs w:val="32"/>
          <w:lang w:val="zh-CN"/>
        </w:rPr>
        <w:t>十、自2020年起，《卫生专业技术资格考试专业目录》中原理化检验技术初级（士、师）和微生物检验技术初级（士、师）专业类别合并为卫生检验技术初级（士、师，专业代码分别为109、211）专业类别。</w:t>
      </w:r>
    </w:p>
    <w:p>
      <w:pPr>
        <w:keepNext w:val="0"/>
        <w:keepLines w:val="0"/>
        <w:pageBreakBefore w:val="0"/>
        <w:kinsoku/>
        <w:wordWrap/>
        <w:overflowPunct/>
        <w:topLinePunct w:val="0"/>
        <w:autoSpaceDE w:val="0"/>
        <w:autoSpaceDN w:val="0"/>
        <w:bidi w:val="0"/>
        <w:adjustRightInd w:val="0"/>
        <w:spacing w:line="520" w:lineRule="exact"/>
        <w:ind w:firstLine="632"/>
        <w:textAlignment w:val="auto"/>
        <w:rPr>
          <w:rFonts w:hint="eastAsia" w:ascii="仿宋_GB2312" w:eastAsia="仿宋_GB2312" w:cs="仿宋_GB2312"/>
          <w:b w:val="0"/>
          <w:bCs/>
          <w:i w:val="0"/>
          <w:iCs/>
          <w:kern w:val="0"/>
          <w:sz w:val="32"/>
          <w:szCs w:val="32"/>
          <w:lang w:val="zh-CN"/>
        </w:rPr>
      </w:pPr>
      <w:r>
        <w:rPr>
          <w:rFonts w:hint="eastAsia" w:ascii="仿宋_GB2312" w:eastAsia="仿宋_GB2312" w:cs="仿宋_GB2312"/>
          <w:b w:val="0"/>
          <w:bCs/>
          <w:i w:val="0"/>
          <w:iCs/>
          <w:kern w:val="0"/>
          <w:sz w:val="32"/>
          <w:szCs w:val="32"/>
          <w:lang w:val="zh-CN"/>
        </w:rPr>
        <w:t>2019年理化检验技术初级（士、师）和微生物检验技术初级（士、师）专业考试未通过的考生，成绩继续进行滚动管理，剩余未通过的科目须在2020年报考卫生检验技术初级（士、师）专业相对应的科目。</w:t>
      </w:r>
    </w:p>
    <w:p>
      <w:pPr>
        <w:keepNext w:val="0"/>
        <w:keepLines w:val="0"/>
        <w:pageBreakBefore w:val="0"/>
        <w:kinsoku/>
        <w:wordWrap/>
        <w:overflowPunct/>
        <w:topLinePunct w:val="0"/>
        <w:autoSpaceDE w:val="0"/>
        <w:autoSpaceDN w:val="0"/>
        <w:bidi w:val="0"/>
        <w:adjustRightInd w:val="0"/>
        <w:spacing w:line="520" w:lineRule="exact"/>
        <w:ind w:firstLine="632"/>
        <w:textAlignment w:val="auto"/>
        <w:rPr>
          <w:rFonts w:hint="eastAsia" w:ascii="仿宋_GB2312" w:hAnsi="华文中宋" w:eastAsia="仿宋_GB2312"/>
          <w:b w:val="0"/>
          <w:bCs/>
          <w:i w:val="0"/>
          <w:iCs/>
          <w:sz w:val="32"/>
          <w:szCs w:val="32"/>
        </w:rPr>
      </w:pPr>
      <w:r>
        <w:rPr>
          <w:rFonts w:hint="eastAsia" w:ascii="仿宋_GB2312" w:eastAsia="仿宋_GB2312" w:cs="仿宋_GB2312"/>
          <w:b w:val="0"/>
          <w:bCs/>
          <w:i w:val="0"/>
          <w:iCs/>
          <w:color w:val="000000"/>
          <w:kern w:val="0"/>
          <w:sz w:val="32"/>
          <w:szCs w:val="32"/>
          <w:highlight w:val="white"/>
          <w:lang w:val="zh-CN"/>
        </w:rPr>
        <w:t>十一、根据《关于印发〈临床医学专业技术资格考试暂行规定〉的通知》（卫人发〔</w:t>
      </w:r>
      <w:r>
        <w:rPr>
          <w:rFonts w:ascii="仿宋_GB2312" w:eastAsia="仿宋_GB2312" w:cs="仿宋_GB2312"/>
          <w:b w:val="0"/>
          <w:bCs/>
          <w:i w:val="0"/>
          <w:iCs/>
          <w:color w:val="000000"/>
          <w:kern w:val="0"/>
          <w:sz w:val="32"/>
          <w:szCs w:val="32"/>
          <w:highlight w:val="white"/>
          <w:lang w:val="zh-CN"/>
        </w:rPr>
        <w:t>2000</w:t>
      </w:r>
      <w:r>
        <w:rPr>
          <w:rFonts w:hint="eastAsia" w:ascii="仿宋_GB2312" w:eastAsia="仿宋_GB2312" w:cs="仿宋_GB2312"/>
          <w:b w:val="0"/>
          <w:bCs/>
          <w:i w:val="0"/>
          <w:iCs/>
          <w:color w:val="000000"/>
          <w:kern w:val="0"/>
          <w:sz w:val="32"/>
          <w:szCs w:val="32"/>
          <w:highlight w:val="white"/>
          <w:lang w:val="zh-CN"/>
        </w:rPr>
        <w:t>〕</w:t>
      </w:r>
      <w:r>
        <w:rPr>
          <w:rFonts w:ascii="仿宋_GB2312" w:eastAsia="仿宋_GB2312" w:cs="仿宋_GB2312"/>
          <w:b w:val="0"/>
          <w:bCs/>
          <w:i w:val="0"/>
          <w:iCs/>
          <w:color w:val="000000"/>
          <w:kern w:val="0"/>
          <w:sz w:val="32"/>
          <w:szCs w:val="32"/>
          <w:highlight w:val="white"/>
          <w:lang w:val="zh-CN"/>
        </w:rPr>
        <w:t>462</w:t>
      </w:r>
      <w:r>
        <w:rPr>
          <w:rFonts w:hint="eastAsia" w:ascii="仿宋_GB2312" w:eastAsia="仿宋_GB2312" w:cs="仿宋_GB2312"/>
          <w:b w:val="0"/>
          <w:bCs/>
          <w:i w:val="0"/>
          <w:iCs/>
          <w:color w:val="000000"/>
          <w:kern w:val="0"/>
          <w:sz w:val="32"/>
          <w:szCs w:val="32"/>
          <w:highlight w:val="white"/>
          <w:lang w:val="zh-CN"/>
        </w:rPr>
        <w:t>号）</w:t>
      </w:r>
      <w:r>
        <w:rPr>
          <w:rFonts w:hint="eastAsia" w:ascii="仿宋_GB2312" w:eastAsia="仿宋_GB2312" w:cs="仿宋_GB2312"/>
          <w:b w:val="0"/>
          <w:bCs/>
          <w:i w:val="0"/>
          <w:iCs/>
          <w:color w:val="000000"/>
          <w:kern w:val="0"/>
          <w:sz w:val="32"/>
          <w:szCs w:val="32"/>
          <w:lang w:val="zh-CN"/>
        </w:rPr>
        <w:t>、《关于&lt;预防医学、全科医学、药学、护理、其他卫生技术等专业技术资格考试暂行规定&gt;及&lt;临床医学、预防医学、全科医学、药学、护理、其他卫生技术等专业技术资格考试实施办法&gt;的通知》（卫人发〔2001〕164号）和《中华人民共和国执业医师法》等有关法规，</w:t>
      </w:r>
      <w:r>
        <w:rPr>
          <w:rFonts w:hint="eastAsia" w:ascii="仿宋_GB2312" w:eastAsia="仿宋_GB2312" w:cs="仿宋_GB2312"/>
          <w:b w:val="0"/>
          <w:bCs/>
          <w:i w:val="0"/>
          <w:iCs/>
          <w:color w:val="000000"/>
          <w:kern w:val="0"/>
          <w:sz w:val="32"/>
          <w:szCs w:val="32"/>
          <w:highlight w:val="white"/>
          <w:lang w:val="zh-CN"/>
        </w:rPr>
        <w:t>注册取得《医师执业证书》是“从事医师工作”的必要条件。未经注册取得《医师执业证书》前的工作经历、规范化培训以及全日制学习期间的各类实习，均不能作为“从事医师工作”经历。</w:t>
      </w:r>
    </w:p>
    <w:p>
      <w:pPr>
        <w:autoSpaceDE w:val="0"/>
        <w:autoSpaceDN w:val="0"/>
        <w:adjustRightInd w:val="0"/>
        <w:spacing w:line="580" w:lineRule="exact"/>
        <w:ind w:right="316" w:firstLine="631"/>
        <w:rPr>
          <w:rFonts w:ascii="仿宋_GB2312" w:eastAsia="仿宋_GB2312" w:cs="仿宋_GB2312"/>
          <w:kern w:val="0"/>
          <w:lang w:val="zh-CN"/>
        </w:rPr>
      </w:pPr>
    </w:p>
    <w:sectPr>
      <w:footerReference r:id="rId3" w:type="default"/>
      <w:footerReference r:id="rId4" w:type="even"/>
      <w:pgSz w:w="11906" w:h="16838"/>
      <w:pgMar w:top="2098" w:right="1531" w:bottom="1814" w:left="1531" w:header="851" w:footer="1588" w:gutter="0"/>
      <w:cols w:space="720" w:num="1"/>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ight="320" w:rightChars="100"/>
      <w:rPr>
        <w:rStyle w:val="7"/>
        <w:rFonts w:ascii="宋体" w:hAnsi="宋体"/>
        <w:sz w:val="28"/>
        <w:szCs w:val="28"/>
      </w:rPr>
    </w:pPr>
    <w:r>
      <w:rPr>
        <w:rStyle w:val="7"/>
        <w:rFonts w:hint="eastAsia"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4</w:t>
    </w:r>
    <w:r>
      <w:rPr>
        <w:rStyle w:val="7"/>
        <w:rFonts w:ascii="宋体" w:hAnsi="宋体"/>
        <w:sz w:val="28"/>
        <w:szCs w:val="28"/>
      </w:rPr>
      <w:fldChar w:fldCharType="end"/>
    </w:r>
    <w:r>
      <w:rPr>
        <w:rStyle w:val="7"/>
        <w:rFonts w:ascii="宋体" w:hAnsi="宋体"/>
        <w:sz w:val="28"/>
        <w:szCs w:val="28"/>
      </w:rPr>
      <w:t xml:space="preserve"> </w:t>
    </w:r>
    <w:r>
      <w:rPr>
        <w:rStyle w:val="7"/>
        <w:rFonts w:hint="eastAsia" w:ascii="宋体" w:hAnsi="宋体"/>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58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83100"/>
    <w:rsid w:val="0000202D"/>
    <w:rsid w:val="000057B9"/>
    <w:rsid w:val="00025DCA"/>
    <w:rsid w:val="000275DA"/>
    <w:rsid w:val="000429EB"/>
    <w:rsid w:val="000438FC"/>
    <w:rsid w:val="00044E03"/>
    <w:rsid w:val="0005343F"/>
    <w:rsid w:val="00056BF1"/>
    <w:rsid w:val="00063CE1"/>
    <w:rsid w:val="00064615"/>
    <w:rsid w:val="000834C6"/>
    <w:rsid w:val="00085CDA"/>
    <w:rsid w:val="000B1BB0"/>
    <w:rsid w:val="000C78F2"/>
    <w:rsid w:val="000D3FB2"/>
    <w:rsid w:val="001025F9"/>
    <w:rsid w:val="001403D8"/>
    <w:rsid w:val="0015480E"/>
    <w:rsid w:val="00154FCC"/>
    <w:rsid w:val="00156006"/>
    <w:rsid w:val="00181204"/>
    <w:rsid w:val="00197359"/>
    <w:rsid w:val="001B70C6"/>
    <w:rsid w:val="001C0E63"/>
    <w:rsid w:val="001D56C9"/>
    <w:rsid w:val="001E243F"/>
    <w:rsid w:val="001E294E"/>
    <w:rsid w:val="001E3C4B"/>
    <w:rsid w:val="001F01E6"/>
    <w:rsid w:val="001F5733"/>
    <w:rsid w:val="001F7125"/>
    <w:rsid w:val="00206988"/>
    <w:rsid w:val="00225DFD"/>
    <w:rsid w:val="002352CC"/>
    <w:rsid w:val="0025068C"/>
    <w:rsid w:val="002554C6"/>
    <w:rsid w:val="00261AD8"/>
    <w:rsid w:val="00270D8A"/>
    <w:rsid w:val="002870A7"/>
    <w:rsid w:val="00293538"/>
    <w:rsid w:val="00294605"/>
    <w:rsid w:val="002A1688"/>
    <w:rsid w:val="002A3EDB"/>
    <w:rsid w:val="002C1F09"/>
    <w:rsid w:val="002C2844"/>
    <w:rsid w:val="002D47FF"/>
    <w:rsid w:val="002D4CB6"/>
    <w:rsid w:val="002E4163"/>
    <w:rsid w:val="002F287E"/>
    <w:rsid w:val="002F56AD"/>
    <w:rsid w:val="002F6F8D"/>
    <w:rsid w:val="003503D3"/>
    <w:rsid w:val="00355335"/>
    <w:rsid w:val="00367BA5"/>
    <w:rsid w:val="00397325"/>
    <w:rsid w:val="00397611"/>
    <w:rsid w:val="003A1FD7"/>
    <w:rsid w:val="003A7257"/>
    <w:rsid w:val="003D5F44"/>
    <w:rsid w:val="003E61FE"/>
    <w:rsid w:val="00413210"/>
    <w:rsid w:val="00414150"/>
    <w:rsid w:val="00434C0D"/>
    <w:rsid w:val="0045128D"/>
    <w:rsid w:val="004528AD"/>
    <w:rsid w:val="00456AD9"/>
    <w:rsid w:val="0047076B"/>
    <w:rsid w:val="00472F15"/>
    <w:rsid w:val="00474528"/>
    <w:rsid w:val="00475A43"/>
    <w:rsid w:val="004A2C55"/>
    <w:rsid w:val="004B29F1"/>
    <w:rsid w:val="004B49CD"/>
    <w:rsid w:val="004C401B"/>
    <w:rsid w:val="004D13FA"/>
    <w:rsid w:val="004D6CCE"/>
    <w:rsid w:val="004E3ECB"/>
    <w:rsid w:val="00531AD9"/>
    <w:rsid w:val="005413B8"/>
    <w:rsid w:val="00560DAB"/>
    <w:rsid w:val="00565359"/>
    <w:rsid w:val="0059148F"/>
    <w:rsid w:val="005919EE"/>
    <w:rsid w:val="0059544A"/>
    <w:rsid w:val="005F0C36"/>
    <w:rsid w:val="005F2B81"/>
    <w:rsid w:val="005F48EE"/>
    <w:rsid w:val="00600FF3"/>
    <w:rsid w:val="00606837"/>
    <w:rsid w:val="00622A32"/>
    <w:rsid w:val="006722E2"/>
    <w:rsid w:val="0068321D"/>
    <w:rsid w:val="00691713"/>
    <w:rsid w:val="00695271"/>
    <w:rsid w:val="006A262F"/>
    <w:rsid w:val="006A2C93"/>
    <w:rsid w:val="006A380F"/>
    <w:rsid w:val="006B09CD"/>
    <w:rsid w:val="006D011A"/>
    <w:rsid w:val="006F0747"/>
    <w:rsid w:val="00712518"/>
    <w:rsid w:val="00754B20"/>
    <w:rsid w:val="00774608"/>
    <w:rsid w:val="00785308"/>
    <w:rsid w:val="007B0DA1"/>
    <w:rsid w:val="007B68C0"/>
    <w:rsid w:val="007C50FB"/>
    <w:rsid w:val="007D2267"/>
    <w:rsid w:val="007D72FA"/>
    <w:rsid w:val="008025AD"/>
    <w:rsid w:val="00846F30"/>
    <w:rsid w:val="00863E68"/>
    <w:rsid w:val="00883D7C"/>
    <w:rsid w:val="0089720B"/>
    <w:rsid w:val="00897C16"/>
    <w:rsid w:val="008D6423"/>
    <w:rsid w:val="008E1A51"/>
    <w:rsid w:val="008F6268"/>
    <w:rsid w:val="009000D0"/>
    <w:rsid w:val="00902E00"/>
    <w:rsid w:val="009128E9"/>
    <w:rsid w:val="00920C48"/>
    <w:rsid w:val="00921B57"/>
    <w:rsid w:val="00927D33"/>
    <w:rsid w:val="009309E6"/>
    <w:rsid w:val="00973D43"/>
    <w:rsid w:val="00983100"/>
    <w:rsid w:val="009913C5"/>
    <w:rsid w:val="0099327B"/>
    <w:rsid w:val="009A6505"/>
    <w:rsid w:val="009B7CA5"/>
    <w:rsid w:val="009C0E37"/>
    <w:rsid w:val="009C2B53"/>
    <w:rsid w:val="009D52A9"/>
    <w:rsid w:val="009F41F8"/>
    <w:rsid w:val="00A045FB"/>
    <w:rsid w:val="00A10EFF"/>
    <w:rsid w:val="00A23E73"/>
    <w:rsid w:val="00A35BA5"/>
    <w:rsid w:val="00A36873"/>
    <w:rsid w:val="00A374ED"/>
    <w:rsid w:val="00A76A3A"/>
    <w:rsid w:val="00A83E59"/>
    <w:rsid w:val="00AA2A6B"/>
    <w:rsid w:val="00AB71B3"/>
    <w:rsid w:val="00AC33C3"/>
    <w:rsid w:val="00B26CED"/>
    <w:rsid w:val="00B33B31"/>
    <w:rsid w:val="00B375B8"/>
    <w:rsid w:val="00B461DE"/>
    <w:rsid w:val="00B506CB"/>
    <w:rsid w:val="00B51BF4"/>
    <w:rsid w:val="00B648EC"/>
    <w:rsid w:val="00B97C0F"/>
    <w:rsid w:val="00BA3702"/>
    <w:rsid w:val="00BB0F75"/>
    <w:rsid w:val="00BB7BC5"/>
    <w:rsid w:val="00BC219E"/>
    <w:rsid w:val="00BC475B"/>
    <w:rsid w:val="00BC49BE"/>
    <w:rsid w:val="00C0134B"/>
    <w:rsid w:val="00C063E0"/>
    <w:rsid w:val="00C32D57"/>
    <w:rsid w:val="00C33601"/>
    <w:rsid w:val="00C36250"/>
    <w:rsid w:val="00C56344"/>
    <w:rsid w:val="00C60C58"/>
    <w:rsid w:val="00C71ADC"/>
    <w:rsid w:val="00C71E2D"/>
    <w:rsid w:val="00C76649"/>
    <w:rsid w:val="00C9333C"/>
    <w:rsid w:val="00C94A84"/>
    <w:rsid w:val="00C979CC"/>
    <w:rsid w:val="00CA2B06"/>
    <w:rsid w:val="00CC14C0"/>
    <w:rsid w:val="00CC21E3"/>
    <w:rsid w:val="00CD2C00"/>
    <w:rsid w:val="00CD3516"/>
    <w:rsid w:val="00CD6065"/>
    <w:rsid w:val="00D01604"/>
    <w:rsid w:val="00D07362"/>
    <w:rsid w:val="00D13D87"/>
    <w:rsid w:val="00D241AA"/>
    <w:rsid w:val="00D26C2A"/>
    <w:rsid w:val="00D46A10"/>
    <w:rsid w:val="00D64BFA"/>
    <w:rsid w:val="00D65BAF"/>
    <w:rsid w:val="00D77AB8"/>
    <w:rsid w:val="00D8756E"/>
    <w:rsid w:val="00D92065"/>
    <w:rsid w:val="00D942F4"/>
    <w:rsid w:val="00D9684B"/>
    <w:rsid w:val="00DA458A"/>
    <w:rsid w:val="00DB6793"/>
    <w:rsid w:val="00DC508F"/>
    <w:rsid w:val="00DD0F69"/>
    <w:rsid w:val="00DD11E6"/>
    <w:rsid w:val="00DE29FB"/>
    <w:rsid w:val="00DE7A11"/>
    <w:rsid w:val="00DF25DF"/>
    <w:rsid w:val="00DF2687"/>
    <w:rsid w:val="00DF576E"/>
    <w:rsid w:val="00E31AA2"/>
    <w:rsid w:val="00E46DA3"/>
    <w:rsid w:val="00E5728C"/>
    <w:rsid w:val="00E61ADF"/>
    <w:rsid w:val="00E63979"/>
    <w:rsid w:val="00E66FCD"/>
    <w:rsid w:val="00E73F66"/>
    <w:rsid w:val="00E85376"/>
    <w:rsid w:val="00EB5F66"/>
    <w:rsid w:val="00EC376D"/>
    <w:rsid w:val="00ED25FB"/>
    <w:rsid w:val="00EE6009"/>
    <w:rsid w:val="00EF2F60"/>
    <w:rsid w:val="00EF3AF2"/>
    <w:rsid w:val="00F05DA5"/>
    <w:rsid w:val="00F308E2"/>
    <w:rsid w:val="00F53BBE"/>
    <w:rsid w:val="00F61965"/>
    <w:rsid w:val="00F6658A"/>
    <w:rsid w:val="00F82BA3"/>
    <w:rsid w:val="00F83E17"/>
    <w:rsid w:val="00F84496"/>
    <w:rsid w:val="00FA25F3"/>
    <w:rsid w:val="00FA580B"/>
    <w:rsid w:val="00FB266D"/>
    <w:rsid w:val="1BCA58AB"/>
    <w:rsid w:val="223D28D1"/>
    <w:rsid w:val="2B5D4897"/>
    <w:rsid w:val="2FCE069E"/>
    <w:rsid w:val="3B477A6B"/>
    <w:rsid w:val="434D13D9"/>
    <w:rsid w:val="4A9A61CC"/>
    <w:rsid w:val="555B27B7"/>
    <w:rsid w:val="64A73562"/>
    <w:rsid w:val="6CE50AE4"/>
    <w:rsid w:val="74FE0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0"/>
    <w:rPr>
      <w:kern w:val="2"/>
      <w:sz w:val="18"/>
      <w:szCs w:val="18"/>
    </w:rPr>
  </w:style>
  <w:style w:type="paragraph" w:customStyle="1" w:styleId="10">
    <w:name w:val="样式"/>
    <w:qFormat/>
    <w:uiPriority w:val="0"/>
    <w:pPr>
      <w:widowControl w:val="0"/>
      <w:autoSpaceDE w:val="0"/>
      <w:autoSpaceDN w:val="0"/>
      <w:adjustRightInd w:val="0"/>
    </w:pPr>
    <w:rPr>
      <w:rFonts w:ascii="宋体" w:hAnsi="Calibri" w:eastAsia="宋体" w:cs="Times New Roman"/>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6</Pages>
  <Words>379</Words>
  <Characters>2164</Characters>
  <Lines>18</Lines>
  <Paragraphs>5</Paragraphs>
  <TotalTime>2</TotalTime>
  <ScaleCrop>false</ScaleCrop>
  <LinksUpToDate>false</LinksUpToDate>
  <CharactersWithSpaces>2538</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2019-12-13T00:49:00Z</dcterms:created>
  <dc:creator>User</dc:creator>
  <cp:lastModifiedBy>Shine</cp:lastModifiedBy>
  <cp:lastPrinted>2020-06-09T07:08:00Z</cp:lastPrinted>
  <dcterms:modified xsi:type="dcterms:W3CDTF">2020-06-11T07:32:42Z</dcterms:modified>
  <dc:title>山东省人力资源和社会保障厅办公室           2017年 月 日印发</dc:title>
  <cp:revision>161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