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38" w:beforeAutospacing="0" w:after="313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CE001D"/>
          <w:spacing w:val="0"/>
          <w:sz w:val="35"/>
          <w:szCs w:val="35"/>
          <w:bdr w:val="none" w:color="auto" w:sz="0" w:space="0"/>
          <w:shd w:val="clear" w:fill="FFFFFF"/>
        </w:rPr>
        <w:t>山西省儿童医院</w:t>
      </w: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招聘岗位及专业要求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  <w:shd w:val="clear" w:fill="FFFFFF"/>
        </w:rPr>
        <w:drawing>
          <wp:inline distT="0" distB="0" distL="114300" distR="114300">
            <wp:extent cx="7734300" cy="1319530"/>
            <wp:effectExtent l="0" t="0" r="1270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34300" cy="1319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013F6"/>
    <w:rsid w:val="13B013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2020-06-03T02:17:00Z</dcterms:created>
  <dc:creator>ASUS</dc:creator>
  <cp:lastModifiedBy>ASUS</cp:lastModifiedBy>
  <dcterms:modified xsi:type="dcterms:W3CDTF">2020-06-03T02:17:53Z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