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i w:val="0"/>
          <w:caps w:val="0"/>
          <w:color w:val="000000"/>
          <w:spacing w:val="0"/>
          <w:kern w:val="0"/>
          <w:sz w:val="24"/>
          <w:szCs w:val="24"/>
          <w:bdr w:val="none" w:color="auto" w:sz="0" w:space="0"/>
          <w:shd w:val="clear" w:fill="F7FCFF"/>
          <w:lang w:val="en-US" w:eastAsia="zh-CN" w:bidi="ar"/>
        </w:rPr>
      </w:pPr>
      <w:r>
        <w:rPr>
          <w:rFonts w:hint="eastAsia" w:ascii="宋体" w:hAnsi="宋体" w:eastAsia="宋体" w:cs="宋体"/>
          <w:i w:val="0"/>
          <w:caps w:val="0"/>
          <w:color w:val="000000"/>
          <w:spacing w:val="0"/>
          <w:kern w:val="0"/>
          <w:sz w:val="24"/>
          <w:szCs w:val="24"/>
          <w:bdr w:val="none" w:color="auto" w:sz="0" w:space="0"/>
          <w:shd w:val="clear" w:fill="F7FCFF"/>
          <w:lang w:val="en-US" w:eastAsia="zh-CN" w:bidi="ar"/>
        </w:rPr>
        <w:t>1、</w:t>
      </w:r>
    </w:p>
    <w:tbl>
      <w:tblPr>
        <w:tblW w:w="699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Layout w:type="autofit"/>
        <w:tblCellMar>
          <w:top w:w="0" w:type="dxa"/>
          <w:left w:w="0" w:type="dxa"/>
          <w:bottom w:w="0" w:type="dxa"/>
          <w:right w:w="0" w:type="dxa"/>
        </w:tblCellMar>
      </w:tblPr>
      <w:tblGrid>
        <w:gridCol w:w="1012"/>
        <w:gridCol w:w="1036"/>
        <w:gridCol w:w="1036"/>
        <w:gridCol w:w="1306"/>
        <w:gridCol w:w="2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rPr>
          <w:trHeight w:val="594" w:hRule="atLeast"/>
        </w:trPr>
        <w:tc>
          <w:tcPr>
            <w:tcW w:w="1242" w:type="dxa"/>
            <w:tcBorders>
              <w:top w:val="single" w:color="auto" w:sz="8" w:space="0"/>
              <w:left w:val="single" w:color="auto" w:sz="8" w:space="0"/>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Style w:val="4"/>
                <w:rFonts w:hint="eastAsia" w:ascii="宋体" w:hAnsi="宋体" w:eastAsia="宋体" w:cs="宋体"/>
                <w:i w:val="0"/>
                <w:caps w:val="0"/>
                <w:color w:val="000000"/>
                <w:spacing w:val="0"/>
                <w:kern w:val="0"/>
                <w:sz w:val="24"/>
                <w:szCs w:val="24"/>
                <w:bdr w:val="none" w:color="auto" w:sz="0" w:space="0"/>
                <w:lang w:val="en-US" w:eastAsia="zh-CN" w:bidi="ar"/>
              </w:rPr>
              <w:t>招聘单位</w:t>
            </w:r>
          </w:p>
        </w:tc>
        <w:tc>
          <w:tcPr>
            <w:tcW w:w="1276" w:type="dxa"/>
            <w:tcBorders>
              <w:top w:val="single" w:color="auto" w:sz="8" w:space="0"/>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Style w:val="4"/>
                <w:rFonts w:hint="eastAsia" w:ascii="宋体" w:hAnsi="宋体" w:eastAsia="宋体" w:cs="宋体"/>
                <w:i w:val="0"/>
                <w:caps w:val="0"/>
                <w:color w:val="000000"/>
                <w:spacing w:val="0"/>
                <w:kern w:val="0"/>
                <w:sz w:val="24"/>
                <w:szCs w:val="24"/>
                <w:bdr w:val="none" w:color="auto" w:sz="0" w:space="0"/>
                <w:lang w:val="en-US" w:eastAsia="zh-CN" w:bidi="ar"/>
              </w:rPr>
              <w:t>招聘岗位</w:t>
            </w:r>
          </w:p>
        </w:tc>
        <w:tc>
          <w:tcPr>
            <w:tcW w:w="1276" w:type="dxa"/>
            <w:tcBorders>
              <w:top w:val="single" w:color="auto" w:sz="8" w:space="0"/>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Style w:val="4"/>
                <w:rFonts w:hint="eastAsia" w:ascii="宋体" w:hAnsi="宋体" w:eastAsia="宋体" w:cs="宋体"/>
                <w:i w:val="0"/>
                <w:caps w:val="0"/>
                <w:color w:val="000000"/>
                <w:spacing w:val="0"/>
                <w:kern w:val="0"/>
                <w:sz w:val="24"/>
                <w:szCs w:val="24"/>
                <w:bdr w:val="none" w:color="auto" w:sz="0" w:space="0"/>
                <w:lang w:val="en-US" w:eastAsia="zh-CN" w:bidi="ar"/>
              </w:rPr>
              <w:t>招聘人数</w:t>
            </w:r>
          </w:p>
        </w:tc>
        <w:tc>
          <w:tcPr>
            <w:tcW w:w="1559" w:type="dxa"/>
            <w:tcBorders>
              <w:top w:val="single" w:color="auto" w:sz="8" w:space="0"/>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Style w:val="4"/>
                <w:rFonts w:hint="eastAsia" w:ascii="宋体" w:hAnsi="宋体" w:eastAsia="宋体" w:cs="宋体"/>
                <w:i w:val="0"/>
                <w:caps w:val="0"/>
                <w:color w:val="000000"/>
                <w:spacing w:val="0"/>
                <w:kern w:val="0"/>
                <w:sz w:val="24"/>
                <w:szCs w:val="24"/>
                <w:bdr w:val="none" w:color="auto" w:sz="0" w:space="0"/>
                <w:lang w:val="en-US" w:eastAsia="zh-CN" w:bidi="ar"/>
              </w:rPr>
              <w:t>专业要求</w:t>
            </w:r>
          </w:p>
        </w:tc>
        <w:tc>
          <w:tcPr>
            <w:tcW w:w="3395" w:type="dxa"/>
            <w:tcBorders>
              <w:top w:val="single" w:color="auto" w:sz="8" w:space="0"/>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Style w:val="4"/>
                <w:rFonts w:hint="eastAsia" w:ascii="宋体" w:hAnsi="宋体" w:eastAsia="宋体" w:cs="宋体"/>
                <w:i w:val="0"/>
                <w:caps w:val="0"/>
                <w:color w:val="000000"/>
                <w:spacing w:val="0"/>
                <w:kern w:val="0"/>
                <w:sz w:val="24"/>
                <w:szCs w:val="24"/>
                <w:bdr w:val="none" w:color="auto" w:sz="0" w:space="0"/>
                <w:lang w:val="en-US" w:eastAsia="zh-CN" w:bidi="ar"/>
              </w:rPr>
              <w:t>学历等要求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restart"/>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医共体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牵头单位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普陀医院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临床医师</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10</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全日制本科及以上学历（具有临床类耳鼻咽喉专业执业医师资格及住院医师规范化培训合格证书或耳鼻咽喉科学主治医师资格证书者，可放宽至本科学历）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continue"/>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jc w:val="left"/>
              <w:rPr>
                <w:rFonts w:hint="eastAsia" w:ascii="宋体" w:hAnsi="宋体" w:eastAsia="宋体" w:cs="宋体"/>
                <w:i w:val="0"/>
                <w:caps w:val="0"/>
                <w:color w:val="000000"/>
                <w:spacing w:val="0"/>
                <w:sz w:val="14"/>
                <w:szCs w:val="14"/>
              </w:rPr>
            </w:pP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麻醉医师</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1</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麻醉学</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全日制本科及以上学历（具有临床类麻醉专业执业医师资格及住院医师规范化培训合格证书或麻醉学主治医师资格证书者，可放宽至本科学历）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continue"/>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jc w:val="left"/>
              <w:rPr>
                <w:rFonts w:hint="eastAsia" w:ascii="宋体" w:hAnsi="宋体" w:eastAsia="宋体" w:cs="宋体"/>
                <w:i w:val="0"/>
                <w:caps w:val="0"/>
                <w:color w:val="000000"/>
                <w:spacing w:val="0"/>
                <w:sz w:val="14"/>
                <w:szCs w:val="14"/>
              </w:rPr>
            </w:pP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影像医师</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2</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医学影像学</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全日制本科及以上学历（具有临床类医学影像和放射治疗专业执业医师资格及住院医师规范化培训合格证书或放射、超声医学主治医师资格证书者，可放宽至本科学历）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continue"/>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jc w:val="left"/>
              <w:rPr>
                <w:rFonts w:hint="eastAsia" w:ascii="宋体" w:hAnsi="宋体" w:eastAsia="宋体" w:cs="宋体"/>
                <w:i w:val="0"/>
                <w:caps w:val="0"/>
                <w:color w:val="000000"/>
                <w:spacing w:val="0"/>
                <w:sz w:val="14"/>
                <w:szCs w:val="14"/>
              </w:rPr>
            </w:pP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放射科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技术人员</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1</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医学影像技术、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医学影像学</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本科及以上学历，具有三级综合性医院2年放射科技术人员工作经验。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continue"/>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jc w:val="left"/>
              <w:rPr>
                <w:rFonts w:hint="eastAsia" w:ascii="宋体" w:hAnsi="宋体" w:eastAsia="宋体" w:cs="宋体"/>
                <w:i w:val="0"/>
                <w:caps w:val="0"/>
                <w:color w:val="000000"/>
                <w:spacing w:val="0"/>
                <w:sz w:val="14"/>
                <w:szCs w:val="14"/>
              </w:rPr>
            </w:pP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病理科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技术人员</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1</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医学检验技术</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全日制本科及以上学历，具有三级综合性医院2年检验或病理工作经验。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restart"/>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医共体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成员单位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普陀医院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六横分院</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临床医师</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5</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临床医学</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全日制本科及以上学历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continue"/>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jc w:val="left"/>
              <w:rPr>
                <w:rFonts w:hint="eastAsia" w:ascii="宋体" w:hAnsi="宋体" w:eastAsia="宋体" w:cs="宋体"/>
                <w:i w:val="0"/>
                <w:caps w:val="0"/>
                <w:color w:val="000000"/>
                <w:spacing w:val="0"/>
                <w:sz w:val="14"/>
                <w:szCs w:val="14"/>
              </w:rPr>
            </w:pP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麻醉医师</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1</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麻醉学</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全日制专科及以上学历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7FCFF"/>
          <w:tblCellMar>
            <w:top w:w="0" w:type="dxa"/>
            <w:left w:w="0" w:type="dxa"/>
            <w:bottom w:w="0" w:type="dxa"/>
            <w:right w:w="0" w:type="dxa"/>
          </w:tblCellMar>
        </w:tblPrEx>
        <w:tc>
          <w:tcPr>
            <w:tcW w:w="1242" w:type="dxa"/>
            <w:vMerge w:val="continue"/>
            <w:tcBorders>
              <w:top w:val="nil"/>
              <w:left w:val="single" w:color="auto" w:sz="8" w:space="0"/>
              <w:bottom w:val="single" w:color="auto" w:sz="8" w:space="0"/>
              <w:right w:val="single" w:color="auto" w:sz="8" w:space="0"/>
            </w:tcBorders>
            <w:shd w:val="clear" w:color="auto" w:fill="F7FCFF"/>
            <w:tcMar>
              <w:left w:w="108" w:type="dxa"/>
              <w:right w:w="108" w:type="dxa"/>
            </w:tcMar>
            <w:vAlign w:val="center"/>
          </w:tcPr>
          <w:p>
            <w:pPr>
              <w:jc w:val="left"/>
              <w:rPr>
                <w:rFonts w:hint="eastAsia" w:ascii="宋体" w:hAnsi="宋体" w:eastAsia="宋体" w:cs="宋体"/>
                <w:i w:val="0"/>
                <w:caps w:val="0"/>
                <w:color w:val="000000"/>
                <w:spacing w:val="0"/>
                <w:sz w:val="14"/>
                <w:szCs w:val="14"/>
              </w:rPr>
            </w:pP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影像医师</w:t>
            </w:r>
          </w:p>
        </w:tc>
        <w:tc>
          <w:tcPr>
            <w:tcW w:w="1276"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1</w:t>
            </w:r>
          </w:p>
        </w:tc>
        <w:tc>
          <w:tcPr>
            <w:tcW w:w="1559"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center"/>
            </w:pPr>
            <w:r>
              <w:rPr>
                <w:rFonts w:hint="eastAsia" w:ascii="宋体" w:hAnsi="宋体" w:eastAsia="宋体" w:cs="宋体"/>
                <w:i w:val="0"/>
                <w:caps w:val="0"/>
                <w:color w:val="000000"/>
                <w:spacing w:val="0"/>
                <w:kern w:val="0"/>
                <w:sz w:val="24"/>
                <w:szCs w:val="24"/>
                <w:bdr w:val="none" w:color="auto" w:sz="0" w:space="0"/>
                <w:lang w:val="en-US" w:eastAsia="zh-CN" w:bidi="ar"/>
              </w:rPr>
              <w:t>医学影像学</w:t>
            </w:r>
          </w:p>
        </w:tc>
        <w:tc>
          <w:tcPr>
            <w:tcW w:w="3395" w:type="dxa"/>
            <w:tcBorders>
              <w:top w:val="nil"/>
              <w:left w:val="nil"/>
              <w:bottom w:val="single" w:color="auto" w:sz="8" w:space="0"/>
              <w:right w:val="single" w:color="auto" w:sz="8" w:space="0"/>
            </w:tcBorders>
            <w:shd w:val="clear" w:color="auto" w:fill="F7FC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36" w:lineRule="atLeast"/>
              <w:ind w:left="0" w:right="0"/>
              <w:jc w:val="left"/>
            </w:pPr>
            <w:r>
              <w:rPr>
                <w:rFonts w:hint="eastAsia" w:ascii="宋体" w:hAnsi="宋体" w:eastAsia="宋体" w:cs="宋体"/>
                <w:i w:val="0"/>
                <w:caps w:val="0"/>
                <w:color w:val="000000"/>
                <w:spacing w:val="0"/>
                <w:kern w:val="0"/>
                <w:sz w:val="24"/>
                <w:szCs w:val="24"/>
                <w:bdr w:val="none" w:color="auto" w:sz="0" w:space="0"/>
                <w:lang w:val="en-US" w:eastAsia="zh-CN" w:bidi="ar"/>
              </w:rPr>
              <w:t>全日制专科及以上学历</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0C73AC"/>
    <w:rsid w:val="020C73AC"/>
    <w:rsid w:val="2F0F3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2020-05-29T09:18:00Z</dcterms:created>
  <dc:creator>ぺ灬cc果冻ル</dc:creator>
  <cp:lastModifiedBy>ぺ灬cc果冻ル</cp:lastModifiedBy>
  <dcterms:modified xsi:type="dcterms:W3CDTF">2020-05-29T09:20:55Z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