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E3E3E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招聘岗位及要求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345"/>
        <w:gridCol w:w="804"/>
        <w:gridCol w:w="804"/>
        <w:gridCol w:w="1414"/>
        <w:gridCol w:w="2061"/>
        <w:gridCol w:w="13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需求人才类型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需求数量</w:t>
            </w:r>
          </w:p>
        </w:tc>
        <w:tc>
          <w:tcPr>
            <w:tcW w:w="0" w:type="auto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人员类型</w:t>
            </w:r>
          </w:p>
        </w:tc>
        <w:tc>
          <w:tcPr>
            <w:tcW w:w="0" w:type="auto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1-01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临床内科医生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1-02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临床内科医生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内科学（感染方向）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1-03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临床内科医生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肿瘤学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2-01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临床外科医生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2-02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麻醉医生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麻醉学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3-01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物理诊断医生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3-02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腔镜介入医生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3-03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影像诊断医生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影像医学及核医学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具有执业医师资格证书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3-04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病理诊断医生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临床检验诊断学或病原生物学（病理学优先）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3-05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检验医生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检验学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4-01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流行病学与卫生统计学人员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编制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全日制硕士研究生及以上学历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5-01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护理人员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合同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具有执业护师资格证书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0" w:type="auto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E3E3E"/>
          <w:spacing w:val="0"/>
          <w:sz w:val="24"/>
          <w:szCs w:val="24"/>
          <w:bdr w:val="none" w:color="auto" w:sz="0" w:space="0"/>
          <w:shd w:val="clear" w:fill="FFFFFF"/>
        </w:rPr>
        <w:t>注：临床类的硕士研究生可以兼报物理诊断医生和腔镜介入医生。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72203"/>
    <w:rsid w:val="4467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2020-05-13T03:56:00Z</dcterms:created>
  <dc:creator>秋叶夏花</dc:creator>
  <cp:lastModifiedBy>秋叶夏花</cp:lastModifiedBy>
  <dcterms:modified xsi:type="dcterms:W3CDTF">2020-05-13T09:49:42Z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