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20"/>
        <w:rPr>
          <w:rFonts w:ascii="Tahoma" w:hAnsi="Tahoma" w:eastAsia="Tahoma" w:cs="Tahoma"/>
          <w:i w:val="0"/>
          <w:caps w:val="0"/>
          <w:color w:val="000000"/>
          <w:spacing w:val="0"/>
          <w:sz w:val="36"/>
          <w:szCs w:val="36"/>
        </w:rPr>
      </w:pPr>
      <w:r>
        <w:rPr>
          <w:rFonts w:ascii="微软雅黑" w:hAnsi="微软雅黑" w:eastAsia="微软雅黑" w:cs="微软雅黑"/>
          <w:i w:val="0"/>
          <w:caps w:val="0"/>
          <w:color w:val="000000"/>
          <w:spacing w:val="0"/>
          <w:sz w:val="36"/>
          <w:szCs w:val="36"/>
          <w:shd w:val="clear" w:fill="FFFFFF"/>
        </w:rPr>
        <w:t>昆明市第一人民医院</w:t>
      </w:r>
      <w:r>
        <w:rPr>
          <w:rFonts w:hint="default" w:ascii="Tahoma" w:hAnsi="Tahoma" w:eastAsia="Tahoma" w:cs="Tahoma"/>
          <w:i w:val="0"/>
          <w:caps w:val="0"/>
          <w:color w:val="000000"/>
          <w:spacing w:val="0"/>
          <w:sz w:val="36"/>
          <w:szCs w:val="36"/>
          <w:bdr w:val="none" w:color="auto" w:sz="0" w:space="0"/>
          <w:shd w:val="clear" w:fill="FFFFFF"/>
        </w:rPr>
        <w:t>招</w:t>
      </w:r>
      <w:bookmarkStart w:id="0" w:name="_GoBack"/>
      <w:bookmarkEnd w:id="0"/>
      <w:r>
        <w:rPr>
          <w:rFonts w:hint="default" w:ascii="Tahoma" w:hAnsi="Tahoma" w:eastAsia="Tahoma" w:cs="Tahoma"/>
          <w:i w:val="0"/>
          <w:caps w:val="0"/>
          <w:color w:val="000000"/>
          <w:spacing w:val="0"/>
          <w:sz w:val="36"/>
          <w:szCs w:val="36"/>
          <w:bdr w:val="none" w:color="auto" w:sz="0" w:space="0"/>
          <w:shd w:val="clear" w:fill="FFFFFF"/>
        </w:rPr>
        <w:t>聘岗位</w:t>
      </w:r>
    </w:p>
    <w:tbl>
      <w:tblPr>
        <w:tblW w:w="0" w:type="auto"/>
        <w:tblCellSpacing w:w="15"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502"/>
        <w:gridCol w:w="302"/>
        <w:gridCol w:w="1412"/>
        <w:gridCol w:w="3043"/>
        <w:gridCol w:w="313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15" w:type="dxa"/>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招聘岗位</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人数</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学历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专业</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岗位要求及其它条件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15" w:type="dxa"/>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老年病科</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普通招生计划全日制硕士及以上</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内科学（研究方向为心血管内科、呼吸、神经病学、内分泌、老年病）</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1.具有执业医师资格证并已注册内科执业范围或能够注册相应执业范围；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2.持有住院医师规范化合格证；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rPr>
                <w:rFonts w:hint="default" w:ascii="Tahoma" w:hAnsi="Tahoma" w:eastAsia="Tahoma" w:cs="Tahoma"/>
                <w:sz w:val="15"/>
                <w:szCs w:val="15"/>
              </w:rPr>
            </w:pPr>
            <w:r>
              <w:rPr>
                <w:rFonts w:hint="default" w:ascii="Tahoma" w:hAnsi="Tahoma" w:eastAsia="Tahoma" w:cs="Tahoma"/>
                <w:i w:val="0"/>
                <w:caps w:val="0"/>
                <w:color w:val="000000"/>
                <w:spacing w:val="0"/>
                <w:sz w:val="15"/>
                <w:szCs w:val="15"/>
                <w:bdr w:val="none" w:color="auto" w:sz="0" w:space="0"/>
              </w:rPr>
              <w:t>3.本科阶段学历要求为普通招生计划全日制临床医学专业。</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34AF2"/>
    <w:rsid w:val="4A634A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2020-05-11T06:37:00Z</dcterms:created>
  <dc:creator>ASUS</dc:creator>
  <cp:lastModifiedBy>ASUS</cp:lastModifiedBy>
  <dcterms:modified xsi:type="dcterms:W3CDTF">2020-05-11T06:38:04Z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