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right="0"/>
        <w:rPr>
          <w:rStyle w:val="5"/>
          <w:rFonts w:hint="eastAsia" w:ascii="宋体" w:hAnsi="宋体" w:eastAsia="宋体" w:cs="宋体"/>
          <w:color w:val="auto"/>
          <w:sz w:val="28"/>
          <w:szCs w:val="28"/>
        </w:rPr>
      </w:pPr>
      <w:bookmarkStart w:id="0" w:name="_GoBack"/>
      <w:bookmarkEnd w:id="0"/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right="0"/>
        <w:rPr>
          <w:color w:val="auto"/>
          <w:sz w:val="28"/>
          <w:szCs w:val="28"/>
        </w:rPr>
      </w:pPr>
      <w:r>
        <w:rPr>
          <w:rStyle w:val="5"/>
          <w:rFonts w:hint="eastAsia" w:ascii="宋体" w:hAnsi="宋体" w:eastAsia="宋体" w:cs="宋体"/>
          <w:color w:val="auto"/>
          <w:sz w:val="28"/>
          <w:szCs w:val="28"/>
        </w:rPr>
        <w:t>附件2：宁波市鄞州</w:t>
      </w:r>
      <w:r>
        <w:rPr>
          <w:rStyle w:val="5"/>
          <w:rFonts w:hint="eastAsia" w:ascii="宋体" w:hAnsi="宋体" w:eastAsia="宋体" w:cs="宋体"/>
          <w:color w:val="auto"/>
          <w:sz w:val="28"/>
          <w:szCs w:val="28"/>
          <w:lang w:eastAsia="zh-CN"/>
        </w:rPr>
        <w:t>区第二</w:t>
      </w:r>
      <w:r>
        <w:rPr>
          <w:rStyle w:val="5"/>
          <w:rFonts w:hint="eastAsia" w:ascii="宋体" w:hAnsi="宋体" w:eastAsia="宋体" w:cs="宋体"/>
          <w:color w:val="auto"/>
          <w:sz w:val="28"/>
          <w:szCs w:val="28"/>
        </w:rPr>
        <w:t>医院医共体编外工作人员招聘计划和条件</w:t>
      </w:r>
    </w:p>
    <w:tbl>
      <w:tblPr>
        <w:tblStyle w:val="3"/>
        <w:tblW w:w="9962" w:type="dxa"/>
        <w:tblInd w:w="-692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00"/>
        <w:gridCol w:w="1305"/>
        <w:gridCol w:w="727"/>
        <w:gridCol w:w="1176"/>
        <w:gridCol w:w="3737"/>
        <w:gridCol w:w="151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</w:trPr>
        <w:tc>
          <w:tcPr>
            <w:tcW w:w="15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5"/>
                <w:rFonts w:ascii="仿宋" w:hAnsi="仿宋" w:eastAsia="仿宋" w:cs="仿宋"/>
              </w:rPr>
              <w:t>招聘单位</w:t>
            </w:r>
          </w:p>
        </w:tc>
        <w:tc>
          <w:tcPr>
            <w:tcW w:w="130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5"/>
                <w:rFonts w:hint="default" w:ascii="仿宋" w:hAnsi="仿宋" w:eastAsia="仿宋" w:cs="仿宋"/>
              </w:rPr>
              <w:t>招聘职位</w:t>
            </w:r>
          </w:p>
        </w:tc>
        <w:tc>
          <w:tcPr>
            <w:tcW w:w="727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5"/>
                <w:rFonts w:hint="default" w:ascii="仿宋" w:hAnsi="仿宋" w:eastAsia="仿宋" w:cs="仿宋"/>
              </w:rPr>
              <w:t>指标</w:t>
            </w:r>
          </w:p>
        </w:tc>
        <w:tc>
          <w:tcPr>
            <w:tcW w:w="1176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5"/>
                <w:rFonts w:hint="default" w:ascii="仿宋" w:hAnsi="仿宋" w:eastAsia="仿宋" w:cs="仿宋"/>
              </w:rPr>
              <w:t>专业</w:t>
            </w:r>
          </w:p>
        </w:tc>
        <w:tc>
          <w:tcPr>
            <w:tcW w:w="3737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5"/>
                <w:rFonts w:hint="default" w:ascii="仿宋" w:hAnsi="仿宋" w:eastAsia="仿宋" w:cs="仿宋"/>
              </w:rPr>
              <w:t>资格条件</w:t>
            </w:r>
          </w:p>
        </w:tc>
        <w:tc>
          <w:tcPr>
            <w:tcW w:w="1517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5"/>
                <w:rFonts w:hint="default" w:ascii="仿宋" w:hAnsi="仿宋" w:eastAsia="仿宋" w:cs="仿宋"/>
                <w:color w:val="000000"/>
              </w:rPr>
              <w:t>范围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1500" w:type="dxa"/>
            <w:tcBorders>
              <w:top w:val="single" w:color="auto" w:sz="4" w:space="0"/>
              <w:left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bCs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Cs/>
                <w:kern w:val="2"/>
                <w:sz w:val="24"/>
                <w:szCs w:val="24"/>
                <w:highlight w:val="none"/>
                <w:lang w:val="en-US" w:eastAsia="zh-CN" w:bidi="ar-SA"/>
              </w:rPr>
              <w:t>咸祥分院</w:t>
            </w:r>
          </w:p>
        </w:tc>
        <w:tc>
          <w:tcPr>
            <w:tcW w:w="1305" w:type="dxa"/>
            <w:tcBorders>
              <w:top w:val="single" w:color="auto" w:sz="4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bCs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Cs/>
                <w:kern w:val="2"/>
                <w:sz w:val="24"/>
                <w:szCs w:val="24"/>
                <w:highlight w:val="none"/>
                <w:lang w:val="en-US" w:eastAsia="zh-CN" w:bidi="ar-SA"/>
              </w:rPr>
              <w:t>护理</w:t>
            </w:r>
          </w:p>
        </w:tc>
        <w:tc>
          <w:tcPr>
            <w:tcW w:w="72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bCs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Cs/>
                <w:kern w:val="2"/>
                <w:sz w:val="24"/>
                <w:szCs w:val="24"/>
                <w:highlight w:val="none"/>
                <w:lang w:val="en-US" w:eastAsia="zh-CN" w:bidi="ar-SA"/>
              </w:rPr>
              <w:t>1</w:t>
            </w:r>
          </w:p>
        </w:tc>
        <w:tc>
          <w:tcPr>
            <w:tcW w:w="117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bCs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Cs/>
                <w:kern w:val="2"/>
                <w:sz w:val="24"/>
                <w:szCs w:val="24"/>
                <w:highlight w:val="none"/>
                <w:lang w:val="en-US" w:eastAsia="zh-CN" w:bidi="ar-SA"/>
              </w:rPr>
              <w:t>护理学（或护理相关专业）</w:t>
            </w:r>
          </w:p>
        </w:tc>
        <w:tc>
          <w:tcPr>
            <w:tcW w:w="373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宋体" w:hAnsi="宋体" w:eastAsia="宋体" w:cs="宋体"/>
                <w:bCs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Cs/>
                <w:kern w:val="2"/>
                <w:sz w:val="24"/>
                <w:szCs w:val="24"/>
                <w:highlight w:val="none"/>
                <w:lang w:val="en-US" w:eastAsia="zh-CN" w:bidi="ar-SA"/>
              </w:rPr>
              <w:t>大专及以上学历，具有护士执业证书</w:t>
            </w:r>
          </w:p>
        </w:tc>
        <w:tc>
          <w:tcPr>
            <w:tcW w:w="1517" w:type="dxa"/>
            <w:vMerge w:val="restart"/>
            <w:tcBorders>
              <w:left w:val="nil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spacing w:line="240" w:lineRule="auto"/>
              <w:jc w:val="center"/>
              <w:rPr>
                <w:rFonts w:hint="eastAsia" w:ascii="宋体"/>
                <w:sz w:val="24"/>
                <w:szCs w:val="24"/>
                <w:lang w:eastAsia="zh-CN"/>
              </w:rPr>
            </w:pPr>
            <w:r>
              <w:rPr>
                <w:rFonts w:hint="eastAsia" w:ascii="宋体"/>
                <w:sz w:val="24"/>
                <w:szCs w:val="24"/>
                <w:lang w:eastAsia="zh-CN"/>
              </w:rPr>
              <w:t>户籍不限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1500" w:type="dxa"/>
            <w:tcBorders>
              <w:top w:val="single" w:color="auto" w:sz="4" w:space="0"/>
              <w:left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auto"/>
              <w:rPr>
                <w:rFonts w:hint="eastAsia" w:ascii="宋体" w:hAnsi="宋体" w:cs="宋体"/>
                <w:color w:val="000000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  <w:highlight w:val="none"/>
                <w:lang w:eastAsia="zh-CN"/>
              </w:rPr>
              <w:t>茅山分院</w:t>
            </w:r>
          </w:p>
        </w:tc>
        <w:tc>
          <w:tcPr>
            <w:tcW w:w="1305" w:type="dxa"/>
            <w:tcBorders>
              <w:top w:val="single" w:color="auto" w:sz="4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sz w:val="24"/>
                <w:szCs w:val="24"/>
                <w:highlight w:val="none"/>
                <w:lang w:eastAsia="zh-CN"/>
              </w:rPr>
              <w:t>护理</w:t>
            </w:r>
          </w:p>
        </w:tc>
        <w:tc>
          <w:tcPr>
            <w:tcW w:w="72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sz w:val="24"/>
                <w:szCs w:val="24"/>
                <w:highlight w:val="none"/>
                <w:lang w:val="en-US" w:eastAsia="zh-CN"/>
              </w:rPr>
              <w:t>1</w:t>
            </w:r>
          </w:p>
        </w:tc>
        <w:tc>
          <w:tcPr>
            <w:tcW w:w="117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sz w:val="24"/>
                <w:szCs w:val="24"/>
                <w:highlight w:val="none"/>
                <w:lang w:eastAsia="zh-CN"/>
              </w:rPr>
              <w:t>护理学</w:t>
            </w:r>
          </w:p>
        </w:tc>
        <w:tc>
          <w:tcPr>
            <w:tcW w:w="373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hAnsi="??" w:cs="仿宋_GB2312"/>
                <w:kern w:val="0"/>
                <w:sz w:val="24"/>
                <w:szCs w:val="24"/>
                <w:highlight w:val="none"/>
                <w:lang w:eastAsia="zh-CN"/>
              </w:rPr>
              <w:t>中</w:t>
            </w:r>
            <w:r>
              <w:rPr>
                <w:rFonts w:hint="eastAsia" w:hAnsi="??" w:cs="仿宋_GB2312"/>
                <w:kern w:val="0"/>
                <w:sz w:val="24"/>
                <w:szCs w:val="24"/>
                <w:highlight w:val="none"/>
              </w:rPr>
              <w:t>专及以上学历</w:t>
            </w:r>
            <w:r>
              <w:rPr>
                <w:rFonts w:hint="eastAsia" w:hAnsi="??" w:cs="仿宋_GB2312"/>
                <w:kern w:val="0"/>
                <w:sz w:val="24"/>
                <w:szCs w:val="24"/>
                <w:highlight w:val="none"/>
                <w:lang w:eastAsia="zh-CN"/>
              </w:rPr>
              <w:t>，</w:t>
            </w:r>
            <w:r>
              <w:rPr>
                <w:rFonts w:hint="eastAsia" w:hAnsi="??" w:cs="仿宋_GB2312"/>
                <w:kern w:val="0"/>
                <w:sz w:val="24"/>
                <w:szCs w:val="24"/>
                <w:highlight w:val="none"/>
              </w:rPr>
              <w:t>具有护士执业证书</w:t>
            </w:r>
            <w:r>
              <w:rPr>
                <w:rFonts w:hint="eastAsia" w:hAnsi="??" w:cs="仿宋_GB2312"/>
                <w:kern w:val="0"/>
                <w:sz w:val="24"/>
                <w:szCs w:val="24"/>
                <w:highlight w:val="none"/>
                <w:lang w:eastAsia="zh-CN"/>
              </w:rPr>
              <w:t>的优先</w:t>
            </w:r>
          </w:p>
        </w:tc>
        <w:tc>
          <w:tcPr>
            <w:tcW w:w="1517" w:type="dxa"/>
            <w:vMerge w:val="continue"/>
            <w:tcBorders>
              <w:left w:val="nil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spacing w:line="240" w:lineRule="auto"/>
              <w:jc w:val="center"/>
              <w:rPr>
                <w:rFonts w:hint="eastAsia" w:ascii="宋体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1500" w:type="dxa"/>
            <w:vMerge w:val="restart"/>
            <w:tcBorders>
              <w:top w:val="single" w:color="auto" w:sz="4" w:space="0"/>
              <w:left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auto"/>
              <w:rPr>
                <w:rFonts w:hint="eastAsia" w:ascii="宋体" w:hAnsi="宋体" w:cs="宋体"/>
                <w:color w:val="000000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  <w:highlight w:val="none"/>
                <w:lang w:eastAsia="zh-CN"/>
              </w:rPr>
              <w:t>潘火分院</w:t>
            </w:r>
          </w:p>
        </w:tc>
        <w:tc>
          <w:tcPr>
            <w:tcW w:w="1305" w:type="dxa"/>
            <w:tcBorders>
              <w:top w:val="single" w:color="auto" w:sz="4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/>
              <w:jc w:val="center"/>
              <w:textAlignment w:val="auto"/>
              <w:rPr>
                <w:rFonts w:hint="eastAsia" w:ascii="宋体" w:hAnsi="宋体" w:cs="宋体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eastAsia="zh-CN"/>
              </w:rPr>
              <w:t>临床医生</w:t>
            </w:r>
          </w:p>
        </w:tc>
        <w:tc>
          <w:tcPr>
            <w:tcW w:w="72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/>
              <w:jc w:val="center"/>
              <w:textAlignment w:val="auto"/>
              <w:rPr>
                <w:rFonts w:hint="default" w:ascii="宋体" w:hAnsi="宋体" w:eastAsia="宋体" w:cs="宋体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highlight w:val="none"/>
                <w:lang w:val="en-US" w:eastAsia="zh-CN"/>
              </w:rPr>
              <w:t>2</w:t>
            </w:r>
          </w:p>
        </w:tc>
        <w:tc>
          <w:tcPr>
            <w:tcW w:w="117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eastAsia="zh-CN"/>
              </w:rPr>
              <w:t>临床医学</w:t>
            </w:r>
          </w:p>
        </w:tc>
        <w:tc>
          <w:tcPr>
            <w:tcW w:w="373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宋体" w:hAnsi="宋体" w:cs="宋体"/>
                <w:bCs/>
                <w:sz w:val="24"/>
                <w:szCs w:val="24"/>
                <w:highlight w:val="none"/>
                <w:lang w:eastAsia="zh-CN"/>
              </w:rPr>
              <w:t>大专</w:t>
            </w: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eastAsia="zh-CN"/>
              </w:rPr>
              <w:t>及</w:t>
            </w:r>
            <w:r>
              <w:rPr>
                <w:rFonts w:hint="eastAsia" w:ascii="宋体" w:hAnsi="宋体" w:eastAsia="宋体" w:cs="宋体"/>
                <w:bCs/>
                <w:sz w:val="24"/>
                <w:szCs w:val="24"/>
                <w:highlight w:val="none"/>
              </w:rPr>
              <w:t>以上学历</w:t>
            </w:r>
            <w:r>
              <w:rPr>
                <w:rFonts w:hint="eastAsia" w:ascii="宋体" w:hAnsi="宋体" w:eastAsia="宋体" w:cs="宋体"/>
                <w:bCs/>
                <w:sz w:val="24"/>
                <w:szCs w:val="24"/>
                <w:highlight w:val="none"/>
                <w:lang w:eastAsia="zh-CN"/>
              </w:rPr>
              <w:t>，</w:t>
            </w:r>
            <w:r>
              <w:rPr>
                <w:rFonts w:hint="eastAsia" w:ascii="宋体" w:hAnsi="宋体" w:eastAsia="宋体" w:cs="宋体"/>
                <w:bCs/>
                <w:sz w:val="24"/>
                <w:szCs w:val="24"/>
                <w:highlight w:val="none"/>
              </w:rPr>
              <w:t>具有相应执业资格，有工作经验</w:t>
            </w:r>
            <w:r>
              <w:rPr>
                <w:rFonts w:hint="eastAsia" w:ascii="宋体" w:hAnsi="宋体" w:eastAsia="宋体" w:cs="宋体"/>
                <w:bCs/>
                <w:sz w:val="24"/>
                <w:szCs w:val="24"/>
                <w:highlight w:val="none"/>
                <w:lang w:eastAsia="zh-CN"/>
              </w:rPr>
              <w:t>的</w:t>
            </w:r>
            <w:r>
              <w:rPr>
                <w:rFonts w:hint="eastAsia" w:ascii="宋体" w:hAnsi="宋体" w:eastAsia="宋体" w:cs="宋体"/>
                <w:bCs/>
                <w:sz w:val="24"/>
                <w:szCs w:val="24"/>
                <w:highlight w:val="none"/>
              </w:rPr>
              <w:t>优先</w:t>
            </w:r>
          </w:p>
        </w:tc>
        <w:tc>
          <w:tcPr>
            <w:tcW w:w="1517" w:type="dxa"/>
            <w:vMerge w:val="continue"/>
            <w:tcBorders>
              <w:left w:val="nil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spacing w:line="240" w:lineRule="auto"/>
              <w:jc w:val="center"/>
              <w:rPr>
                <w:rFonts w:hint="eastAsia" w:ascii="宋体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1500" w:type="dxa"/>
            <w:vMerge w:val="continue"/>
            <w:tcBorders>
              <w:left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auto"/>
              <w:rPr>
                <w:rFonts w:hint="eastAsia" w:ascii="宋体" w:hAnsi="宋体" w:cs="宋体"/>
                <w:color w:val="000000"/>
                <w:sz w:val="24"/>
                <w:szCs w:val="24"/>
                <w:highlight w:val="none"/>
                <w:lang w:eastAsia="zh-CN"/>
              </w:rPr>
            </w:pPr>
          </w:p>
        </w:tc>
        <w:tc>
          <w:tcPr>
            <w:tcW w:w="1305" w:type="dxa"/>
            <w:tcBorders>
              <w:top w:val="single" w:color="auto" w:sz="4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/>
              <w:jc w:val="center"/>
              <w:textAlignment w:val="auto"/>
              <w:rPr>
                <w:rFonts w:hint="eastAsia" w:ascii="宋体" w:hAnsi="宋体" w:cs="宋体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eastAsia="zh-CN"/>
              </w:rPr>
              <w:t>检验</w:t>
            </w:r>
          </w:p>
        </w:tc>
        <w:tc>
          <w:tcPr>
            <w:tcW w:w="72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/>
              <w:jc w:val="center"/>
              <w:textAlignment w:val="auto"/>
              <w:rPr>
                <w:rFonts w:hint="default" w:ascii="宋体" w:hAnsi="宋体" w:cs="宋体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highlight w:val="none"/>
                <w:lang w:val="en-US" w:eastAsia="zh-CN"/>
              </w:rPr>
              <w:t>1</w:t>
            </w:r>
          </w:p>
        </w:tc>
        <w:tc>
          <w:tcPr>
            <w:tcW w:w="117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/>
              <w:jc w:val="center"/>
              <w:textAlignment w:val="auto"/>
              <w:rPr>
                <w:rFonts w:hint="eastAsia" w:ascii="宋体" w:hAnsi="宋体" w:cs="宋体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eastAsia="zh-CN"/>
              </w:rPr>
              <w:t>医学检验</w:t>
            </w:r>
          </w:p>
        </w:tc>
        <w:tc>
          <w:tcPr>
            <w:tcW w:w="373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hAnsi="??" w:cs="仿宋_GB2312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cs="宋体"/>
                <w:bCs/>
                <w:sz w:val="24"/>
                <w:szCs w:val="24"/>
                <w:highlight w:val="none"/>
                <w:lang w:eastAsia="zh-CN"/>
              </w:rPr>
              <w:t>大专</w:t>
            </w: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eastAsia="zh-CN"/>
              </w:rPr>
              <w:t>及</w:t>
            </w:r>
            <w:r>
              <w:rPr>
                <w:rFonts w:hint="eastAsia" w:ascii="宋体" w:hAnsi="宋体" w:eastAsia="宋体" w:cs="宋体"/>
                <w:bCs/>
                <w:sz w:val="24"/>
                <w:szCs w:val="24"/>
                <w:highlight w:val="none"/>
              </w:rPr>
              <w:t>以上学历</w:t>
            </w:r>
            <w:r>
              <w:rPr>
                <w:rFonts w:hint="eastAsia" w:ascii="宋体" w:hAnsi="宋体" w:cs="宋体"/>
                <w:bCs/>
                <w:sz w:val="24"/>
                <w:szCs w:val="24"/>
                <w:highlight w:val="none"/>
                <w:lang w:eastAsia="zh-CN"/>
              </w:rPr>
              <w:t>，具有相应专业技术资格证书的优先</w:t>
            </w:r>
          </w:p>
        </w:tc>
        <w:tc>
          <w:tcPr>
            <w:tcW w:w="1517" w:type="dxa"/>
            <w:vMerge w:val="continue"/>
            <w:tcBorders>
              <w:left w:val="nil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spacing w:line="240" w:lineRule="auto"/>
              <w:jc w:val="center"/>
              <w:rPr>
                <w:rFonts w:hint="eastAsia" w:ascii="宋体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1500" w:type="dxa"/>
            <w:vMerge w:val="restart"/>
            <w:tcBorders>
              <w:top w:val="single" w:color="auto" w:sz="4" w:space="0"/>
              <w:left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/>
              <w:jc w:val="center"/>
              <w:textAlignment w:val="auto"/>
              <w:rPr>
                <w:rFonts w:hint="eastAsia" w:ascii="宋体" w:hAnsi="宋体" w:cs="宋体"/>
                <w:color w:val="000000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eastAsia="zh-CN"/>
              </w:rPr>
              <w:t>钟公庙</w:t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分院</w:t>
            </w:r>
          </w:p>
        </w:tc>
        <w:tc>
          <w:tcPr>
            <w:tcW w:w="1305" w:type="dxa"/>
            <w:tcBorders>
              <w:top w:val="single" w:color="auto" w:sz="4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/>
              <w:jc w:val="center"/>
              <w:textAlignment w:val="auto"/>
              <w:rPr>
                <w:rFonts w:hint="eastAsia" w:ascii="宋体" w:hAnsi="宋体" w:cs="宋体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临床医生</w:t>
            </w:r>
          </w:p>
        </w:tc>
        <w:tc>
          <w:tcPr>
            <w:tcW w:w="72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/>
              <w:jc w:val="center"/>
              <w:textAlignment w:val="auto"/>
              <w:rPr>
                <w:rFonts w:hint="eastAsia" w:ascii="宋体" w:hAnsi="宋体" w:cs="宋体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17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/>
              <w:jc w:val="center"/>
              <w:textAlignment w:val="auto"/>
              <w:rPr>
                <w:rFonts w:hint="eastAsia" w:ascii="宋体" w:hAnsi="宋体" w:cs="宋体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临床医学</w:t>
            </w:r>
          </w:p>
        </w:tc>
        <w:tc>
          <w:tcPr>
            <w:tcW w:w="373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/>
              <w:textAlignment w:val="auto"/>
              <w:rPr>
                <w:rFonts w:hint="eastAsia" w:ascii="宋体" w:hAnsi="宋体" w:cs="宋体"/>
                <w:bCs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大专及以上学历，具有执业医师职称</w:t>
            </w:r>
            <w:r>
              <w:rPr>
                <w:rFonts w:hint="eastAsia" w:ascii="宋体" w:hAnsi="宋体" w:cs="宋体"/>
                <w:sz w:val="24"/>
                <w:szCs w:val="24"/>
                <w:lang w:eastAsia="zh-CN"/>
              </w:rPr>
              <w:t>的优先</w:t>
            </w:r>
          </w:p>
        </w:tc>
        <w:tc>
          <w:tcPr>
            <w:tcW w:w="1517" w:type="dxa"/>
            <w:vMerge w:val="continue"/>
            <w:tcBorders>
              <w:left w:val="nil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spacing w:line="240" w:lineRule="auto"/>
              <w:jc w:val="center"/>
              <w:rPr>
                <w:rFonts w:hint="eastAsia" w:ascii="宋体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1500" w:type="dxa"/>
            <w:vMerge w:val="continue"/>
            <w:tcBorders>
              <w:left w:val="single" w:color="auto" w:sz="6" w:space="0"/>
              <w:bottom w:val="single" w:color="auto" w:sz="4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/>
              <w:jc w:val="center"/>
              <w:textAlignment w:val="auto"/>
              <w:rPr>
                <w:rFonts w:hint="eastAsia" w:ascii="宋体" w:hAnsi="宋体" w:cs="宋体"/>
                <w:color w:val="000000"/>
                <w:sz w:val="24"/>
                <w:szCs w:val="24"/>
                <w:highlight w:val="none"/>
                <w:lang w:eastAsia="zh-CN"/>
              </w:rPr>
            </w:pPr>
          </w:p>
        </w:tc>
        <w:tc>
          <w:tcPr>
            <w:tcW w:w="13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/>
              <w:jc w:val="center"/>
              <w:textAlignment w:val="auto"/>
              <w:rPr>
                <w:rFonts w:hint="eastAsia" w:ascii="宋体" w:hAnsi="宋体" w:cs="宋体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highlight w:val="none"/>
                <w:lang w:eastAsia="zh-CN"/>
              </w:rPr>
              <w:t>护理</w:t>
            </w:r>
          </w:p>
        </w:tc>
        <w:tc>
          <w:tcPr>
            <w:tcW w:w="72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/>
              <w:jc w:val="center"/>
              <w:textAlignment w:val="auto"/>
              <w:rPr>
                <w:rFonts w:hint="eastAsia" w:ascii="宋体" w:hAnsi="宋体" w:cs="宋体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highlight w:val="none"/>
                <w:lang w:val="en-US" w:eastAsia="zh-CN"/>
              </w:rPr>
              <w:t>1</w:t>
            </w:r>
          </w:p>
        </w:tc>
        <w:tc>
          <w:tcPr>
            <w:tcW w:w="117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sz w:val="24"/>
                <w:szCs w:val="24"/>
                <w:highlight w:val="none"/>
                <w:lang w:eastAsia="zh-CN"/>
              </w:rPr>
              <w:t>护理学</w:t>
            </w:r>
          </w:p>
        </w:tc>
        <w:tc>
          <w:tcPr>
            <w:tcW w:w="3737" w:type="dxa"/>
            <w:tcBorders>
              <w:top w:val="nil"/>
              <w:left w:val="nil"/>
              <w:bottom w:val="single" w:color="auto" w:sz="4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hAnsi="??" w:cs="仿宋_GB2312"/>
                <w:kern w:val="0"/>
                <w:sz w:val="24"/>
                <w:szCs w:val="24"/>
                <w:highlight w:val="none"/>
                <w:lang w:eastAsia="zh-CN"/>
              </w:rPr>
              <w:t>中</w:t>
            </w:r>
            <w:r>
              <w:rPr>
                <w:rFonts w:hint="eastAsia" w:hAnsi="??" w:cs="仿宋_GB2312"/>
                <w:kern w:val="0"/>
                <w:sz w:val="24"/>
                <w:szCs w:val="24"/>
                <w:highlight w:val="none"/>
              </w:rPr>
              <w:t>专及以上学历</w:t>
            </w:r>
            <w:r>
              <w:rPr>
                <w:rFonts w:hint="eastAsia" w:hAnsi="??" w:cs="仿宋_GB2312"/>
                <w:kern w:val="0"/>
                <w:sz w:val="24"/>
                <w:szCs w:val="24"/>
                <w:highlight w:val="none"/>
                <w:lang w:eastAsia="zh-CN"/>
              </w:rPr>
              <w:t>，</w:t>
            </w:r>
            <w:r>
              <w:rPr>
                <w:rFonts w:hint="eastAsia" w:hAnsi="??" w:cs="仿宋_GB2312"/>
                <w:kern w:val="0"/>
                <w:sz w:val="24"/>
                <w:szCs w:val="24"/>
                <w:highlight w:val="none"/>
              </w:rPr>
              <w:t>具有护士执业证书</w:t>
            </w:r>
            <w:r>
              <w:rPr>
                <w:rFonts w:hint="eastAsia" w:hAnsi="??" w:cs="仿宋_GB2312"/>
                <w:kern w:val="0"/>
                <w:sz w:val="24"/>
                <w:szCs w:val="24"/>
                <w:highlight w:val="none"/>
                <w:lang w:eastAsia="zh-CN"/>
              </w:rPr>
              <w:t>的优先</w:t>
            </w:r>
          </w:p>
        </w:tc>
        <w:tc>
          <w:tcPr>
            <w:tcW w:w="1517" w:type="dxa"/>
            <w:vMerge w:val="continue"/>
            <w:tcBorders>
              <w:left w:val="nil"/>
              <w:bottom w:val="single" w:color="auto" w:sz="4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spacing w:line="240" w:lineRule="auto"/>
              <w:jc w:val="center"/>
              <w:rPr>
                <w:rFonts w:hint="eastAsia" w:ascii="宋体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atLeast"/>
        </w:trPr>
        <w:tc>
          <w:tcPr>
            <w:tcW w:w="2805" w:type="dxa"/>
            <w:gridSpan w:val="2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</w:rPr>
              <w:t>合计</w:t>
            </w:r>
          </w:p>
        </w:tc>
        <w:tc>
          <w:tcPr>
            <w:tcW w:w="7157" w:type="dxa"/>
            <w:gridSpan w:val="4"/>
            <w:tcBorders>
              <w:top w:val="single" w:color="auto" w:sz="4" w:space="0"/>
              <w:left w:val="nil"/>
              <w:bottom w:val="single" w:color="auto" w:sz="6" w:space="0"/>
              <w:right w:val="single" w:color="000000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highlight w:val="none"/>
                <w:lang w:val="en-US" w:eastAsia="zh-CN"/>
              </w:rPr>
              <w:t>7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??">
    <w:altName w:val="Times New Roman"/>
    <w:panose1 w:val="00000000000000000000"/>
    <w:charset w:val="00"/>
    <w:family w:val="roman"/>
    <w:pitch w:val="default"/>
    <w:sig w:usb0="00000000" w:usb1="00000000" w:usb2="00000000" w:usb3="00000000" w:csb0="00000001" w:csb1="00000000"/>
  </w:font>
  <w:font w:name="仿宋_GB2312">
    <w:altName w:val="仿宋"/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B106DAA"/>
    <w:rsid w:val="0BBF1FC8"/>
    <w:rsid w:val="0DCE4727"/>
    <w:rsid w:val="12D82A44"/>
    <w:rsid w:val="133B16F6"/>
    <w:rsid w:val="15970746"/>
    <w:rsid w:val="18484E06"/>
    <w:rsid w:val="1E634CCB"/>
    <w:rsid w:val="22296712"/>
    <w:rsid w:val="26AA604E"/>
    <w:rsid w:val="36C9128F"/>
    <w:rsid w:val="3B3F558E"/>
    <w:rsid w:val="411611DB"/>
    <w:rsid w:val="46934D74"/>
    <w:rsid w:val="48702CE2"/>
    <w:rsid w:val="49E95424"/>
    <w:rsid w:val="4E35292B"/>
    <w:rsid w:val="53E97998"/>
    <w:rsid w:val="55CF2D90"/>
    <w:rsid w:val="59BD58CB"/>
    <w:rsid w:val="600F426B"/>
    <w:rsid w:val="65016CFC"/>
    <w:rsid w:val="67A2195F"/>
    <w:rsid w:val="67BD3B00"/>
    <w:rsid w:val="67FE1D39"/>
    <w:rsid w:val="685311D0"/>
    <w:rsid w:val="69A57FF5"/>
    <w:rsid w:val="6B766C90"/>
    <w:rsid w:val="70534064"/>
    <w:rsid w:val="78D832AE"/>
    <w:rsid w:val="7C1277B0"/>
    <w:rsid w:val="7D3C2F7F"/>
    <w:rsid w:val="7DEA1DE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Style w:val="3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6</TotalTime>
  <ScaleCrop>false</ScaleCrop>
  <LinksUpToDate>false</LinksUpToDate>
  <CharactersWithSpaces>0</CharactersWithSpaces>
  <Application>WPS Office_11.1.0.9513_F1E327BC-269C-435d-A152-05C5408002CA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2020-05-11T07:03:36Z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2052-11.1.0.9513</vt:lpwstr>
  </property>
</Properties>
</file>