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0" w:beforeAutospacing="0" w:after="125" w:afterAutospacing="0" w:line="19" w:lineRule="atLeast"/>
        <w:ind w:left="0" w:right="0" w:firstLine="0"/>
        <w:jc w:val="center"/>
        <w:rPr>
          <w:rFonts w:ascii="微软雅黑" w:hAnsi="微软雅黑" w:eastAsia="微软雅黑" w:cs="微软雅黑"/>
          <w:i w:val="0"/>
          <w:caps w:val="0"/>
          <w:color w:val="333333"/>
          <w:spacing w:val="0"/>
          <w:sz w:val="20"/>
          <w:szCs w:val="20"/>
        </w:rPr>
      </w:pPr>
      <w:r>
        <w:rPr>
          <w:rFonts w:hint="eastAsia" w:ascii="微软雅黑" w:hAnsi="微软雅黑" w:eastAsia="微软雅黑" w:cs="微软雅黑"/>
          <w:b/>
          <w:i w:val="0"/>
          <w:caps w:val="0"/>
          <w:color w:val="015293"/>
          <w:spacing w:val="0"/>
          <w:sz w:val="30"/>
          <w:szCs w:val="30"/>
          <w:bdr w:val="none" w:color="auto" w:sz="0" w:space="0"/>
          <w:shd w:val="clear" w:fill="FFFFFF"/>
        </w:rPr>
        <w:t>上海交通大学医学院附属仁济医院南院</w:t>
      </w:r>
      <w:bookmarkStart w:id="0" w:name="_GoBack"/>
      <w:bookmarkEnd w:id="0"/>
      <w:r>
        <w:rPr>
          <w:rFonts w:hint="eastAsia" w:ascii="微软雅黑" w:hAnsi="微软雅黑" w:eastAsia="微软雅黑" w:cs="微软雅黑"/>
          <w:i w:val="0"/>
          <w:caps w:val="0"/>
          <w:color w:val="333333"/>
          <w:spacing w:val="0"/>
          <w:sz w:val="20"/>
          <w:szCs w:val="20"/>
          <w:bdr w:val="none" w:color="auto" w:sz="0" w:space="0"/>
          <w:shd w:val="clear" w:fill="FFFFFF"/>
        </w:rPr>
        <w:t>招聘岗位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3" w:afterAutospacing="0" w:line="25" w:lineRule="atLeast"/>
        <w:ind w:left="0" w:right="0" w:firstLine="0"/>
        <w:jc w:val="both"/>
        <w:rPr>
          <w:rFonts w:hint="eastAsia" w:ascii="微软雅黑" w:hAnsi="微软雅黑" w:eastAsia="微软雅黑" w:cs="微软雅黑"/>
          <w:i w:val="0"/>
          <w:caps w:val="0"/>
          <w:color w:val="333333"/>
          <w:spacing w:val="0"/>
          <w:sz w:val="20"/>
          <w:szCs w:val="20"/>
        </w:rPr>
      </w:pPr>
      <w:r>
        <w:rPr>
          <w:rFonts w:hint="eastAsia" w:ascii="微软雅黑" w:hAnsi="微软雅黑" w:eastAsia="微软雅黑" w:cs="微软雅黑"/>
          <w:i w:val="0"/>
          <w:caps w:val="0"/>
          <w:color w:val="333333"/>
          <w:spacing w:val="0"/>
          <w:sz w:val="20"/>
          <w:szCs w:val="20"/>
          <w:bdr w:val="none" w:color="auto" w:sz="0" w:space="0"/>
          <w:shd w:val="clear" w:fill="FFFFFF"/>
        </w:rPr>
        <w:t>　　1、卫生专业技术人员</w:t>
      </w:r>
    </w:p>
    <w:tbl>
      <w:tblPr>
        <w:tblW w:w="7513" w:type="dxa"/>
        <w:jc w:val="center"/>
        <w:shd w:val="clear"/>
        <w:tblLayout w:type="autofit"/>
        <w:tblCellMar>
          <w:top w:w="0" w:type="dxa"/>
          <w:left w:w="0" w:type="dxa"/>
          <w:bottom w:w="0" w:type="dxa"/>
          <w:right w:w="0" w:type="dxa"/>
        </w:tblCellMar>
      </w:tblPr>
      <w:tblGrid>
        <w:gridCol w:w="1433"/>
        <w:gridCol w:w="850"/>
        <w:gridCol w:w="709"/>
        <w:gridCol w:w="5148"/>
      </w:tblGrid>
      <w:tr>
        <w:tblPrEx>
          <w:shd w:val="clear"/>
          <w:tblCellMar>
            <w:top w:w="0" w:type="dxa"/>
            <w:left w:w="0" w:type="dxa"/>
            <w:bottom w:w="0" w:type="dxa"/>
            <w:right w:w="0" w:type="dxa"/>
          </w:tblCellMar>
        </w:tblPrEx>
        <w:trPr>
          <w:trHeight w:val="540" w:hRule="atLeast"/>
          <w:jc w:val="center"/>
        </w:trPr>
        <w:tc>
          <w:tcPr>
            <w:tcW w:w="1433" w:type="dxa"/>
            <w:tcBorders>
              <w:top w:val="single" w:color="auto" w:sz="8" w:space="0"/>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b/>
                <w:color w:val="000000"/>
                <w:kern w:val="0"/>
                <w:sz w:val="24"/>
                <w:szCs w:val="24"/>
                <w:bdr w:val="none" w:color="auto" w:sz="0" w:space="0"/>
                <w:lang w:val="en-US" w:eastAsia="zh-CN" w:bidi="ar"/>
              </w:rPr>
              <w:t>科室</w:t>
            </w:r>
          </w:p>
        </w:tc>
        <w:tc>
          <w:tcPr>
            <w:tcW w:w="850" w:type="dxa"/>
            <w:tcBorders>
              <w:top w:val="single" w:color="auto" w:sz="8" w:space="0"/>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b/>
                <w:color w:val="000000"/>
                <w:kern w:val="0"/>
                <w:sz w:val="24"/>
                <w:szCs w:val="24"/>
                <w:bdr w:val="none" w:color="auto" w:sz="0" w:space="0"/>
                <w:lang w:val="en-US" w:eastAsia="zh-CN" w:bidi="ar"/>
              </w:rPr>
              <w:t>岗位</w:t>
            </w:r>
          </w:p>
        </w:tc>
        <w:tc>
          <w:tcPr>
            <w:tcW w:w="709" w:type="dxa"/>
            <w:tcBorders>
              <w:top w:val="single" w:color="auto" w:sz="8" w:space="0"/>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b/>
                <w:color w:val="000000"/>
                <w:kern w:val="0"/>
                <w:sz w:val="24"/>
                <w:szCs w:val="24"/>
                <w:bdr w:val="none" w:color="auto" w:sz="0" w:space="0"/>
                <w:lang w:val="en-US" w:eastAsia="zh-CN" w:bidi="ar"/>
              </w:rPr>
              <w:t>拟招人数</w:t>
            </w:r>
          </w:p>
        </w:tc>
        <w:tc>
          <w:tcPr>
            <w:tcW w:w="5148" w:type="dxa"/>
            <w:tcBorders>
              <w:top w:val="single" w:color="auto" w:sz="8" w:space="0"/>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b/>
                <w:color w:val="000000"/>
                <w:kern w:val="0"/>
                <w:sz w:val="24"/>
                <w:szCs w:val="24"/>
                <w:bdr w:val="none" w:color="auto" w:sz="0" w:space="0"/>
                <w:lang w:val="en-US" w:eastAsia="zh-CN" w:bidi="ar"/>
              </w:rPr>
              <w:t>招聘要求</w:t>
            </w:r>
          </w:p>
        </w:tc>
      </w:tr>
      <w:tr>
        <w:tblPrEx>
          <w:shd w:val="clear"/>
          <w:tblCellMar>
            <w:top w:w="0" w:type="dxa"/>
            <w:left w:w="0" w:type="dxa"/>
            <w:bottom w:w="0" w:type="dxa"/>
            <w:right w:w="0" w:type="dxa"/>
          </w:tblCellMar>
        </w:tblPrEx>
        <w:trPr>
          <w:trHeight w:val="402" w:hRule="atLeast"/>
          <w:jc w:val="center"/>
        </w:trPr>
        <w:tc>
          <w:tcPr>
            <w:tcW w:w="1433" w:type="dxa"/>
            <w:vMerge w:val="restart"/>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心内科</w:t>
            </w:r>
          </w:p>
        </w:tc>
        <w:tc>
          <w:tcPr>
            <w:tcW w:w="850" w:type="dxa"/>
            <w:vMerge w:val="restart"/>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医师</w:t>
            </w:r>
          </w:p>
        </w:tc>
        <w:tc>
          <w:tcPr>
            <w:tcW w:w="709" w:type="dxa"/>
            <w:vMerge w:val="restart"/>
            <w:tcBorders>
              <w:top w:val="nil"/>
              <w:left w:val="nil"/>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2</w:t>
            </w:r>
          </w:p>
        </w:tc>
        <w:tc>
          <w:tcPr>
            <w:tcW w:w="51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副高以上医师1名：博士，心血管病专业，擅长肺血管介入或冠脉介入手术者优先。         </w:t>
            </w:r>
          </w:p>
        </w:tc>
      </w:tr>
      <w:tr>
        <w:tblPrEx>
          <w:tblCellMar>
            <w:top w:w="0" w:type="dxa"/>
            <w:left w:w="0" w:type="dxa"/>
            <w:bottom w:w="0" w:type="dxa"/>
            <w:right w:w="0" w:type="dxa"/>
          </w:tblCellMar>
        </w:tblPrEx>
        <w:trPr>
          <w:trHeight w:val="402" w:hRule="atLeast"/>
          <w:jc w:val="center"/>
        </w:trPr>
        <w:tc>
          <w:tcPr>
            <w:tcW w:w="1433" w:type="dxa"/>
            <w:vMerge w:val="continue"/>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850" w:type="dxa"/>
            <w:vMerge w:val="continue"/>
            <w:tcBorders>
              <w:top w:val="nil"/>
              <w:left w:val="nil"/>
              <w:bottom w:val="single" w:color="auto" w:sz="8" w:space="0"/>
              <w:right w:val="single" w:color="auto" w:sz="8" w:space="0"/>
            </w:tcBorders>
            <w:shd w:val="clear"/>
            <w:noWrap/>
            <w:tcMar>
              <w:left w:w="108" w:type="dxa"/>
              <w:right w:w="108" w:type="dxa"/>
            </w:tcMar>
            <w:vAlign w:val="center"/>
          </w:tcPr>
          <w:p>
            <w:pPr>
              <w:rPr>
                <w:rFonts w:hint="eastAsia" w:ascii="宋体"/>
                <w:sz w:val="24"/>
                <w:szCs w:val="24"/>
              </w:rPr>
            </w:pPr>
          </w:p>
        </w:tc>
        <w:tc>
          <w:tcPr>
            <w:tcW w:w="709" w:type="dxa"/>
            <w:vMerge w:val="continue"/>
            <w:tcBorders>
              <w:top w:val="nil"/>
              <w:left w:val="nil"/>
              <w:bottom w:val="single" w:color="auto" w:sz="8" w:space="0"/>
              <w:right w:val="single" w:color="auto" w:sz="8" w:space="0"/>
            </w:tcBorders>
            <w:shd w:val="clear" w:color="auto" w:fill="FFFFFF"/>
            <w:noWrap/>
            <w:tcMar>
              <w:left w:w="108" w:type="dxa"/>
              <w:right w:w="108" w:type="dxa"/>
            </w:tcMar>
            <w:vAlign w:val="center"/>
          </w:tcPr>
          <w:p>
            <w:pPr>
              <w:rPr>
                <w:rFonts w:hint="eastAsia" w:ascii="宋体"/>
                <w:sz w:val="24"/>
                <w:szCs w:val="24"/>
              </w:rPr>
            </w:pPr>
          </w:p>
        </w:tc>
        <w:tc>
          <w:tcPr>
            <w:tcW w:w="5148"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住院或主治医师1名：博士，有肺血管病、心脏彩超专长者优先</w:t>
            </w:r>
          </w:p>
        </w:tc>
      </w:tr>
      <w:tr>
        <w:tblPrEx>
          <w:shd w:val="clear"/>
          <w:tblCellMar>
            <w:top w:w="0" w:type="dxa"/>
            <w:left w:w="0" w:type="dxa"/>
            <w:bottom w:w="0" w:type="dxa"/>
            <w:right w:w="0" w:type="dxa"/>
          </w:tblCellMar>
        </w:tblPrEx>
        <w:trPr>
          <w:trHeight w:val="402" w:hRule="atLeast"/>
          <w:jc w:val="center"/>
        </w:trPr>
        <w:tc>
          <w:tcPr>
            <w:tcW w:w="143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风湿病科</w:t>
            </w:r>
          </w:p>
        </w:tc>
        <w:tc>
          <w:tcPr>
            <w:tcW w:w="8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医师</w:t>
            </w:r>
          </w:p>
        </w:tc>
        <w:tc>
          <w:tcPr>
            <w:tcW w:w="70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1</w:t>
            </w:r>
          </w:p>
        </w:tc>
        <w:tc>
          <w:tcPr>
            <w:tcW w:w="5148"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博士，风湿病专业或内科学专业</w:t>
            </w:r>
          </w:p>
        </w:tc>
      </w:tr>
      <w:tr>
        <w:tblPrEx>
          <w:tblCellMar>
            <w:top w:w="0" w:type="dxa"/>
            <w:left w:w="0" w:type="dxa"/>
            <w:bottom w:w="0" w:type="dxa"/>
            <w:right w:w="0" w:type="dxa"/>
          </w:tblCellMar>
        </w:tblPrEx>
        <w:trPr>
          <w:trHeight w:val="402" w:hRule="atLeast"/>
          <w:jc w:val="center"/>
        </w:trPr>
        <w:tc>
          <w:tcPr>
            <w:tcW w:w="1433" w:type="dxa"/>
            <w:vMerge w:val="restart"/>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老年病科</w:t>
            </w:r>
          </w:p>
        </w:tc>
        <w:tc>
          <w:tcPr>
            <w:tcW w:w="850" w:type="dxa"/>
            <w:vMerge w:val="restart"/>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医师</w:t>
            </w:r>
          </w:p>
        </w:tc>
        <w:tc>
          <w:tcPr>
            <w:tcW w:w="709" w:type="dxa"/>
            <w:vMerge w:val="restart"/>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2</w:t>
            </w:r>
          </w:p>
        </w:tc>
        <w:tc>
          <w:tcPr>
            <w:tcW w:w="5148"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全科医师1名：本科，全科专业，有5年工作经验</w:t>
            </w:r>
          </w:p>
        </w:tc>
      </w:tr>
      <w:tr>
        <w:tblPrEx>
          <w:shd w:val="clear"/>
          <w:tblCellMar>
            <w:top w:w="0" w:type="dxa"/>
            <w:left w:w="0" w:type="dxa"/>
            <w:bottom w:w="0" w:type="dxa"/>
            <w:right w:w="0" w:type="dxa"/>
          </w:tblCellMar>
        </w:tblPrEx>
        <w:trPr>
          <w:trHeight w:val="402" w:hRule="atLeast"/>
          <w:jc w:val="center"/>
        </w:trPr>
        <w:tc>
          <w:tcPr>
            <w:tcW w:w="1433" w:type="dxa"/>
            <w:vMerge w:val="continue"/>
            <w:tcBorders>
              <w:top w:val="nil"/>
              <w:left w:val="single" w:color="auto" w:sz="8" w:space="0"/>
              <w:bottom w:val="single" w:color="auto" w:sz="8" w:space="0"/>
              <w:right w:val="single" w:color="auto" w:sz="8" w:space="0"/>
            </w:tcBorders>
            <w:shd w:val="clear"/>
            <w:noWrap/>
            <w:tcMar>
              <w:left w:w="108" w:type="dxa"/>
              <w:right w:w="108" w:type="dxa"/>
            </w:tcMar>
            <w:vAlign w:val="center"/>
          </w:tcPr>
          <w:p>
            <w:pPr>
              <w:rPr>
                <w:rFonts w:hint="eastAsia" w:ascii="宋体"/>
                <w:sz w:val="24"/>
                <w:szCs w:val="24"/>
              </w:rPr>
            </w:pPr>
          </w:p>
        </w:tc>
        <w:tc>
          <w:tcPr>
            <w:tcW w:w="850" w:type="dxa"/>
            <w:vMerge w:val="continue"/>
            <w:tcBorders>
              <w:top w:val="nil"/>
              <w:left w:val="nil"/>
              <w:bottom w:val="single" w:color="auto" w:sz="8" w:space="0"/>
              <w:right w:val="single" w:color="auto" w:sz="8" w:space="0"/>
            </w:tcBorders>
            <w:shd w:val="clear"/>
            <w:noWrap/>
            <w:tcMar>
              <w:left w:w="108" w:type="dxa"/>
              <w:right w:w="108" w:type="dxa"/>
            </w:tcMar>
            <w:vAlign w:val="center"/>
          </w:tcPr>
          <w:p>
            <w:pPr>
              <w:rPr>
                <w:rFonts w:hint="eastAsia" w:ascii="宋体"/>
                <w:sz w:val="24"/>
                <w:szCs w:val="24"/>
              </w:rPr>
            </w:pPr>
          </w:p>
        </w:tc>
        <w:tc>
          <w:tcPr>
            <w:tcW w:w="709" w:type="dxa"/>
            <w:vMerge w:val="continue"/>
            <w:tcBorders>
              <w:top w:val="nil"/>
              <w:left w:val="nil"/>
              <w:bottom w:val="single" w:color="auto" w:sz="8" w:space="0"/>
              <w:right w:val="single" w:color="auto" w:sz="8" w:space="0"/>
            </w:tcBorders>
            <w:shd w:val="clear"/>
            <w:noWrap/>
            <w:tcMar>
              <w:left w:w="108" w:type="dxa"/>
              <w:right w:w="108" w:type="dxa"/>
            </w:tcMar>
            <w:vAlign w:val="center"/>
          </w:tcPr>
          <w:p>
            <w:pPr>
              <w:rPr>
                <w:rFonts w:hint="eastAsia" w:ascii="宋体"/>
                <w:sz w:val="24"/>
                <w:szCs w:val="24"/>
              </w:rPr>
            </w:pPr>
          </w:p>
        </w:tc>
        <w:tc>
          <w:tcPr>
            <w:tcW w:w="5148"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住院医师1名：博士，相关内科专业</w:t>
            </w:r>
          </w:p>
        </w:tc>
      </w:tr>
      <w:tr>
        <w:tblPrEx>
          <w:tblCellMar>
            <w:top w:w="0" w:type="dxa"/>
            <w:left w:w="0" w:type="dxa"/>
            <w:bottom w:w="0" w:type="dxa"/>
            <w:right w:w="0" w:type="dxa"/>
          </w:tblCellMar>
        </w:tblPrEx>
        <w:trPr>
          <w:trHeight w:val="402" w:hRule="atLeast"/>
          <w:jc w:val="center"/>
        </w:trPr>
        <w:tc>
          <w:tcPr>
            <w:tcW w:w="143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内分泌科</w:t>
            </w:r>
          </w:p>
        </w:tc>
        <w:tc>
          <w:tcPr>
            <w:tcW w:w="8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医师</w:t>
            </w:r>
          </w:p>
        </w:tc>
        <w:tc>
          <w:tcPr>
            <w:tcW w:w="70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1</w:t>
            </w:r>
          </w:p>
        </w:tc>
        <w:tc>
          <w:tcPr>
            <w:tcW w:w="5148"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博士，内分泌专业</w:t>
            </w:r>
          </w:p>
        </w:tc>
      </w:tr>
      <w:tr>
        <w:tblPrEx>
          <w:shd w:val="clear"/>
          <w:tblCellMar>
            <w:top w:w="0" w:type="dxa"/>
            <w:left w:w="0" w:type="dxa"/>
            <w:bottom w:w="0" w:type="dxa"/>
            <w:right w:w="0" w:type="dxa"/>
          </w:tblCellMar>
        </w:tblPrEx>
        <w:trPr>
          <w:trHeight w:val="402" w:hRule="atLeast"/>
          <w:jc w:val="center"/>
        </w:trPr>
        <w:tc>
          <w:tcPr>
            <w:tcW w:w="143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妇产科</w:t>
            </w:r>
          </w:p>
        </w:tc>
        <w:tc>
          <w:tcPr>
            <w:tcW w:w="8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医师</w:t>
            </w:r>
          </w:p>
        </w:tc>
        <w:tc>
          <w:tcPr>
            <w:tcW w:w="70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1</w:t>
            </w:r>
          </w:p>
        </w:tc>
        <w:tc>
          <w:tcPr>
            <w:tcW w:w="5148"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博士，相关专业，有临床经验者优先</w:t>
            </w:r>
          </w:p>
        </w:tc>
      </w:tr>
      <w:tr>
        <w:tblPrEx>
          <w:shd w:val="clear"/>
          <w:tblCellMar>
            <w:top w:w="0" w:type="dxa"/>
            <w:left w:w="0" w:type="dxa"/>
            <w:bottom w:w="0" w:type="dxa"/>
            <w:right w:w="0" w:type="dxa"/>
          </w:tblCellMar>
        </w:tblPrEx>
        <w:trPr>
          <w:trHeight w:val="402" w:hRule="atLeast"/>
          <w:jc w:val="center"/>
        </w:trPr>
        <w:tc>
          <w:tcPr>
            <w:tcW w:w="143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麻醉科</w:t>
            </w:r>
          </w:p>
        </w:tc>
        <w:tc>
          <w:tcPr>
            <w:tcW w:w="8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医师</w:t>
            </w:r>
          </w:p>
        </w:tc>
        <w:tc>
          <w:tcPr>
            <w:tcW w:w="70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2</w:t>
            </w:r>
          </w:p>
        </w:tc>
        <w:tc>
          <w:tcPr>
            <w:tcW w:w="5148"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硕士以上，博士优先；麻醉专业</w:t>
            </w:r>
          </w:p>
        </w:tc>
      </w:tr>
      <w:tr>
        <w:tblPrEx>
          <w:tblCellMar>
            <w:top w:w="0" w:type="dxa"/>
            <w:left w:w="0" w:type="dxa"/>
            <w:bottom w:w="0" w:type="dxa"/>
            <w:right w:w="0" w:type="dxa"/>
          </w:tblCellMar>
        </w:tblPrEx>
        <w:trPr>
          <w:trHeight w:val="402" w:hRule="atLeast"/>
          <w:jc w:val="center"/>
        </w:trPr>
        <w:tc>
          <w:tcPr>
            <w:tcW w:w="143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ICU</w:t>
            </w:r>
          </w:p>
        </w:tc>
        <w:tc>
          <w:tcPr>
            <w:tcW w:w="8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医师</w:t>
            </w:r>
          </w:p>
        </w:tc>
        <w:tc>
          <w:tcPr>
            <w:tcW w:w="70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1</w:t>
            </w:r>
          </w:p>
        </w:tc>
        <w:tc>
          <w:tcPr>
            <w:tcW w:w="5148"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硕士以上，博士优先；内科、外科影像等专业</w:t>
            </w:r>
          </w:p>
        </w:tc>
      </w:tr>
      <w:tr>
        <w:tblPrEx>
          <w:shd w:val="clear"/>
          <w:tblCellMar>
            <w:top w:w="0" w:type="dxa"/>
            <w:left w:w="0" w:type="dxa"/>
            <w:bottom w:w="0" w:type="dxa"/>
            <w:right w:w="0" w:type="dxa"/>
          </w:tblCellMar>
        </w:tblPrEx>
        <w:trPr>
          <w:trHeight w:val="402" w:hRule="atLeast"/>
          <w:jc w:val="center"/>
        </w:trPr>
        <w:tc>
          <w:tcPr>
            <w:tcW w:w="143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疼痛科</w:t>
            </w:r>
          </w:p>
        </w:tc>
        <w:tc>
          <w:tcPr>
            <w:tcW w:w="8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医师</w:t>
            </w:r>
          </w:p>
        </w:tc>
        <w:tc>
          <w:tcPr>
            <w:tcW w:w="70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1</w:t>
            </w:r>
          </w:p>
        </w:tc>
        <w:tc>
          <w:tcPr>
            <w:tcW w:w="5148"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硕士以上，博士优先；麻醉、外科、医学影像、中医、康复等专业</w:t>
            </w:r>
          </w:p>
        </w:tc>
      </w:tr>
      <w:tr>
        <w:tblPrEx>
          <w:shd w:val="clear"/>
          <w:tblCellMar>
            <w:top w:w="0" w:type="dxa"/>
            <w:left w:w="0" w:type="dxa"/>
            <w:bottom w:w="0" w:type="dxa"/>
            <w:right w:w="0" w:type="dxa"/>
          </w:tblCellMar>
        </w:tblPrEx>
        <w:trPr>
          <w:trHeight w:val="402" w:hRule="atLeast"/>
          <w:jc w:val="center"/>
        </w:trPr>
        <w:tc>
          <w:tcPr>
            <w:tcW w:w="1433"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儿科</w:t>
            </w:r>
          </w:p>
        </w:tc>
        <w:tc>
          <w:tcPr>
            <w:tcW w:w="8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医师</w:t>
            </w:r>
          </w:p>
        </w:tc>
        <w:tc>
          <w:tcPr>
            <w:tcW w:w="70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1</w:t>
            </w:r>
          </w:p>
        </w:tc>
        <w:tc>
          <w:tcPr>
            <w:tcW w:w="5148"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硕士以上，儿科主治医师，有一定的亚专业特色</w:t>
            </w:r>
          </w:p>
        </w:tc>
      </w:tr>
      <w:tr>
        <w:tblPrEx>
          <w:tblCellMar>
            <w:top w:w="0" w:type="dxa"/>
            <w:left w:w="0" w:type="dxa"/>
            <w:bottom w:w="0" w:type="dxa"/>
            <w:right w:w="0" w:type="dxa"/>
          </w:tblCellMar>
        </w:tblPrEx>
        <w:trPr>
          <w:trHeight w:val="402" w:hRule="atLeast"/>
          <w:jc w:val="center"/>
        </w:trPr>
        <w:tc>
          <w:tcPr>
            <w:tcW w:w="1433" w:type="dxa"/>
            <w:tcBorders>
              <w:top w:val="nil"/>
              <w:left w:val="single" w:color="auto" w:sz="8" w:space="0"/>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超声医学科</w:t>
            </w:r>
          </w:p>
        </w:tc>
        <w:tc>
          <w:tcPr>
            <w:tcW w:w="850"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医师</w:t>
            </w:r>
          </w:p>
        </w:tc>
        <w:tc>
          <w:tcPr>
            <w:tcW w:w="709"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000000"/>
                <w:kern w:val="0"/>
                <w:sz w:val="24"/>
                <w:szCs w:val="24"/>
                <w:bdr w:val="none" w:color="auto" w:sz="0" w:space="0"/>
                <w:lang w:val="en-US" w:eastAsia="zh-CN" w:bidi="ar"/>
              </w:rPr>
              <w:t>1</w:t>
            </w:r>
          </w:p>
        </w:tc>
        <w:tc>
          <w:tcPr>
            <w:tcW w:w="5148" w:type="dxa"/>
            <w:tcBorders>
              <w:top w:val="nil"/>
              <w:left w:val="nil"/>
              <w:bottom w:val="single" w:color="auto" w:sz="8" w:space="0"/>
              <w:right w:val="single" w:color="auto" w:sz="8" w:space="0"/>
            </w:tcBorders>
            <w:shd w:val="clear"/>
            <w:noWrap/>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000000"/>
                <w:kern w:val="0"/>
                <w:sz w:val="24"/>
                <w:szCs w:val="24"/>
                <w:bdr w:val="none" w:color="auto" w:sz="0" w:space="0"/>
                <w:lang w:val="en-US" w:eastAsia="zh-CN" w:bidi="ar"/>
              </w:rPr>
              <w:t>本科以上硕士优先，相关专业</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3" w:afterAutospacing="0" w:line="25" w:lineRule="atLeast"/>
        <w:ind w:left="0" w:right="0" w:firstLine="0"/>
        <w:jc w:val="both"/>
        <w:rPr>
          <w:rFonts w:hint="eastAsia" w:ascii="微软雅黑" w:hAnsi="微软雅黑" w:eastAsia="微软雅黑" w:cs="微软雅黑"/>
          <w:i w:val="0"/>
          <w:caps w:val="0"/>
          <w:color w:val="333333"/>
          <w:spacing w:val="0"/>
          <w:sz w:val="20"/>
          <w:szCs w:val="20"/>
        </w:rPr>
      </w:pPr>
      <w:r>
        <w:rPr>
          <w:rFonts w:hint="eastAsia" w:ascii="微软雅黑" w:hAnsi="微软雅黑" w:eastAsia="微软雅黑" w:cs="微软雅黑"/>
          <w:i w:val="0"/>
          <w:caps w:val="0"/>
          <w:color w:val="333333"/>
          <w:spacing w:val="0"/>
          <w:sz w:val="20"/>
          <w:szCs w:val="2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3" w:afterAutospacing="0" w:line="25" w:lineRule="atLeast"/>
        <w:ind w:left="0" w:right="0" w:firstLine="0"/>
        <w:jc w:val="both"/>
        <w:rPr>
          <w:rFonts w:hint="eastAsia" w:ascii="微软雅黑" w:hAnsi="微软雅黑" w:eastAsia="微软雅黑" w:cs="微软雅黑"/>
          <w:i w:val="0"/>
          <w:caps w:val="0"/>
          <w:color w:val="333333"/>
          <w:spacing w:val="0"/>
          <w:sz w:val="20"/>
          <w:szCs w:val="20"/>
        </w:rPr>
      </w:pPr>
      <w:r>
        <w:rPr>
          <w:rFonts w:hint="eastAsia" w:ascii="微软雅黑" w:hAnsi="微软雅黑" w:eastAsia="微软雅黑" w:cs="微软雅黑"/>
          <w:i w:val="0"/>
          <w:caps w:val="0"/>
          <w:color w:val="333333"/>
          <w:spacing w:val="0"/>
          <w:sz w:val="20"/>
          <w:szCs w:val="20"/>
          <w:bdr w:val="none" w:color="auto" w:sz="0" w:space="0"/>
          <w:shd w:val="clear" w:fill="FFFFFF"/>
        </w:rPr>
        <w:t>　　2、行政后勤管理人员</w:t>
      </w:r>
    </w:p>
    <w:tbl>
      <w:tblPr>
        <w:tblW w:w="8429" w:type="dxa"/>
        <w:jc w:val="center"/>
        <w:shd w:val="clear"/>
        <w:tblLayout w:type="autofit"/>
        <w:tblCellMar>
          <w:top w:w="0" w:type="dxa"/>
          <w:left w:w="0" w:type="dxa"/>
          <w:bottom w:w="0" w:type="dxa"/>
          <w:right w:w="0" w:type="dxa"/>
        </w:tblCellMar>
      </w:tblPr>
      <w:tblGrid>
        <w:gridCol w:w="866"/>
        <w:gridCol w:w="1417"/>
        <w:gridCol w:w="1135"/>
        <w:gridCol w:w="5011"/>
      </w:tblGrid>
      <w:tr>
        <w:tblPrEx>
          <w:shd w:val="clear"/>
          <w:tblCellMar>
            <w:top w:w="0" w:type="dxa"/>
            <w:left w:w="0" w:type="dxa"/>
            <w:bottom w:w="0" w:type="dxa"/>
            <w:right w:w="0" w:type="dxa"/>
          </w:tblCellMar>
        </w:tblPrEx>
        <w:trPr>
          <w:trHeight w:val="381" w:hRule="atLeast"/>
          <w:jc w:val="center"/>
        </w:trPr>
        <w:tc>
          <w:tcPr>
            <w:tcW w:w="866"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b/>
                <w:color w:val="000000"/>
                <w:kern w:val="0"/>
                <w:sz w:val="24"/>
                <w:szCs w:val="24"/>
                <w:bdr w:val="none" w:color="auto" w:sz="0" w:space="0"/>
                <w:lang w:val="en-US" w:eastAsia="zh-CN" w:bidi="ar"/>
              </w:rPr>
              <w:t>科室</w:t>
            </w:r>
          </w:p>
        </w:tc>
        <w:tc>
          <w:tcPr>
            <w:tcW w:w="141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b/>
                <w:color w:val="000000"/>
                <w:kern w:val="0"/>
                <w:sz w:val="24"/>
                <w:szCs w:val="24"/>
                <w:bdr w:val="none" w:color="auto" w:sz="0" w:space="0"/>
                <w:lang w:val="en-US" w:eastAsia="zh-CN" w:bidi="ar"/>
              </w:rPr>
              <w:t>岗位</w:t>
            </w:r>
          </w:p>
        </w:tc>
        <w:tc>
          <w:tcPr>
            <w:tcW w:w="113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b/>
                <w:color w:val="000000"/>
                <w:kern w:val="0"/>
                <w:sz w:val="24"/>
                <w:szCs w:val="24"/>
                <w:bdr w:val="none" w:color="auto" w:sz="0" w:space="0"/>
                <w:lang w:val="en-US" w:eastAsia="zh-CN" w:bidi="ar"/>
              </w:rPr>
              <w:t>拟招人数</w:t>
            </w:r>
          </w:p>
        </w:tc>
        <w:tc>
          <w:tcPr>
            <w:tcW w:w="5012"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b/>
                <w:color w:val="000000"/>
                <w:kern w:val="0"/>
                <w:sz w:val="24"/>
                <w:szCs w:val="24"/>
                <w:bdr w:val="none" w:color="auto" w:sz="0" w:space="0"/>
                <w:lang w:val="en-US" w:eastAsia="zh-CN" w:bidi="ar"/>
              </w:rPr>
              <w:t>招聘要求</w:t>
            </w:r>
          </w:p>
        </w:tc>
      </w:tr>
      <w:tr>
        <w:tblPrEx>
          <w:shd w:val="clear"/>
          <w:tblCellMar>
            <w:top w:w="0" w:type="dxa"/>
            <w:left w:w="0" w:type="dxa"/>
            <w:bottom w:w="0" w:type="dxa"/>
            <w:right w:w="0" w:type="dxa"/>
          </w:tblCellMar>
        </w:tblPrEx>
        <w:trPr>
          <w:trHeight w:val="131" w:hRule="atLeast"/>
          <w:jc w:val="center"/>
        </w:trPr>
        <w:tc>
          <w:tcPr>
            <w:tcW w:w="8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医务处</w:t>
            </w:r>
          </w:p>
        </w:tc>
        <w:tc>
          <w:tcPr>
            <w:tcW w:w="141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医政管理2人/医疗行政1人</w:t>
            </w:r>
          </w:p>
        </w:tc>
        <w:tc>
          <w:tcPr>
            <w:tcW w:w="113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3</w:t>
            </w:r>
          </w:p>
        </w:tc>
        <w:tc>
          <w:tcPr>
            <w:tcW w:w="501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333333"/>
                <w:kern w:val="0"/>
                <w:sz w:val="24"/>
                <w:szCs w:val="24"/>
                <w:bdr w:val="none" w:color="auto" w:sz="0" w:space="0"/>
                <w:lang w:val="en-US" w:eastAsia="zh-CN" w:bidi="ar"/>
              </w:rPr>
              <w:t>硕士，临床医学或卫生管理专业，有工作经验者优先</w:t>
            </w:r>
          </w:p>
        </w:tc>
      </w:tr>
      <w:tr>
        <w:tblPrEx>
          <w:shd w:val="clear"/>
          <w:tblCellMar>
            <w:top w:w="0" w:type="dxa"/>
            <w:left w:w="0" w:type="dxa"/>
            <w:bottom w:w="0" w:type="dxa"/>
            <w:right w:w="0" w:type="dxa"/>
          </w:tblCellMar>
        </w:tblPrEx>
        <w:trPr>
          <w:trHeight w:val="79" w:hRule="atLeast"/>
          <w:jc w:val="center"/>
        </w:trPr>
        <w:tc>
          <w:tcPr>
            <w:tcW w:w="8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后勤保障处</w:t>
            </w:r>
          </w:p>
        </w:tc>
        <w:tc>
          <w:tcPr>
            <w:tcW w:w="141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后勤管理1人，医疗设备管理1人</w:t>
            </w:r>
          </w:p>
        </w:tc>
        <w:tc>
          <w:tcPr>
            <w:tcW w:w="1135" w:type="dxa"/>
            <w:tcBorders>
              <w:top w:val="nil"/>
              <w:left w:val="nil"/>
              <w:bottom w:val="nil"/>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2</w:t>
            </w:r>
          </w:p>
        </w:tc>
        <w:tc>
          <w:tcPr>
            <w:tcW w:w="501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333333"/>
                <w:kern w:val="0"/>
                <w:sz w:val="24"/>
                <w:szCs w:val="24"/>
                <w:bdr w:val="none" w:color="auto" w:sz="0" w:space="0"/>
                <w:lang w:val="en-US" w:eastAsia="zh-CN" w:bidi="ar"/>
              </w:rPr>
              <w:t>本科以上，医院后勤设备、医疗器械管理、工民建设等相关专业。具有一定的财务、统计、工程建设等专业知识，有相关资格证书者优先</w:t>
            </w:r>
          </w:p>
        </w:tc>
      </w:tr>
      <w:tr>
        <w:tblPrEx>
          <w:shd w:val="clear"/>
          <w:tblCellMar>
            <w:top w:w="0" w:type="dxa"/>
            <w:left w:w="0" w:type="dxa"/>
            <w:bottom w:w="0" w:type="dxa"/>
            <w:right w:w="0" w:type="dxa"/>
          </w:tblCellMar>
        </w:tblPrEx>
        <w:trPr>
          <w:trHeight w:val="287" w:hRule="atLeast"/>
          <w:jc w:val="center"/>
        </w:trPr>
        <w:tc>
          <w:tcPr>
            <w:tcW w:w="866"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信息中心</w:t>
            </w:r>
          </w:p>
        </w:tc>
        <w:tc>
          <w:tcPr>
            <w:tcW w:w="141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系统架构管理1人，创新应用拓展采购和合同管理1人</w:t>
            </w:r>
          </w:p>
        </w:tc>
        <w:tc>
          <w:tcPr>
            <w:tcW w:w="113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center"/>
              <w:rPr>
                <w:color w:val="333333"/>
              </w:rPr>
            </w:pPr>
            <w:r>
              <w:rPr>
                <w:rFonts w:hint="eastAsia" w:ascii="宋体" w:hAnsi="宋体" w:eastAsia="宋体" w:cs="宋体"/>
                <w:color w:val="333333"/>
                <w:kern w:val="0"/>
                <w:sz w:val="24"/>
                <w:szCs w:val="24"/>
                <w:bdr w:val="none" w:color="auto" w:sz="0" w:space="0"/>
                <w:lang w:val="en-US" w:eastAsia="zh-CN" w:bidi="ar"/>
              </w:rPr>
              <w:t>2</w:t>
            </w:r>
          </w:p>
        </w:tc>
        <w:tc>
          <w:tcPr>
            <w:tcW w:w="5012"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3" w:afterAutospacing="0" w:line="25" w:lineRule="atLeast"/>
              <w:ind w:left="0" w:right="0"/>
              <w:jc w:val="left"/>
              <w:rPr>
                <w:color w:val="333333"/>
              </w:rPr>
            </w:pPr>
            <w:r>
              <w:rPr>
                <w:rFonts w:hint="eastAsia" w:ascii="宋体" w:hAnsi="宋体" w:eastAsia="宋体" w:cs="宋体"/>
                <w:color w:val="333333"/>
                <w:kern w:val="0"/>
                <w:sz w:val="24"/>
                <w:szCs w:val="24"/>
                <w:bdr w:val="none" w:color="auto" w:sz="0" w:space="0"/>
                <w:lang w:val="en-US" w:eastAsia="zh-CN" w:bidi="ar"/>
              </w:rPr>
              <w:t>硕士，计算机及相关专业 。1、具备软件系统研发或系统测试工作经验，具备三甲医院核心信息系统项目实施经验或区域卫生平台实施经验者更佳。 2、熟悉软件系统集成理念（SOA、Web Service等），熟悉并熟练运用软件系统中间件平台，熟悉Oracle 、Sqlserver等主流数据库。 3、具备较强的学习及钻研能力，对前沿技术如大数据、云计算、物联网等熟悉原理。</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3" w:afterAutospacing="0" w:line="25" w:lineRule="atLeast"/>
        <w:ind w:left="0" w:right="0" w:firstLine="0"/>
        <w:jc w:val="both"/>
        <w:rPr>
          <w:rFonts w:hint="eastAsia" w:ascii="微软雅黑" w:hAnsi="微软雅黑" w:eastAsia="微软雅黑" w:cs="微软雅黑"/>
          <w:i w:val="0"/>
          <w:caps w:val="0"/>
          <w:color w:val="333333"/>
          <w:spacing w:val="0"/>
          <w:sz w:val="20"/>
          <w:szCs w:val="20"/>
        </w:rPr>
      </w:pPr>
      <w:r>
        <w:rPr>
          <w:rFonts w:hint="eastAsia" w:ascii="微软雅黑" w:hAnsi="微软雅黑" w:eastAsia="微软雅黑" w:cs="微软雅黑"/>
          <w:i w:val="0"/>
          <w:caps w:val="0"/>
          <w:color w:val="333333"/>
          <w:spacing w:val="0"/>
          <w:sz w:val="20"/>
          <w:szCs w:val="2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13" w:afterAutospacing="0" w:line="25" w:lineRule="atLeast"/>
        <w:ind w:left="0" w:right="0" w:firstLine="0"/>
        <w:jc w:val="both"/>
        <w:rPr>
          <w:rFonts w:hint="eastAsia" w:ascii="微软雅黑" w:hAnsi="微软雅黑" w:eastAsia="微软雅黑" w:cs="微软雅黑"/>
          <w:i w:val="0"/>
          <w:caps w:val="0"/>
          <w:color w:val="333333"/>
          <w:spacing w:val="0"/>
          <w:sz w:val="20"/>
          <w:szCs w:val="20"/>
        </w:rPr>
      </w:pPr>
      <w:r>
        <w:rPr>
          <w:rFonts w:hint="eastAsia" w:ascii="微软雅黑" w:hAnsi="微软雅黑" w:eastAsia="微软雅黑" w:cs="微软雅黑"/>
          <w:i w:val="0"/>
          <w:caps w:val="0"/>
          <w:color w:val="333333"/>
          <w:spacing w:val="0"/>
          <w:sz w:val="20"/>
          <w:szCs w:val="20"/>
          <w:bdr w:val="none" w:color="auto" w:sz="0" w:space="0"/>
          <w:shd w:val="clear" w:fill="FFFFFF"/>
        </w:rPr>
        <w:t>　　注：外省市社会人员，须持有上海市居住证一年以上（在有效期内）。计算截止时间为2020年5月22日。对从外省市引进的高级专业技术人员、紧缺急需的专业人才，不受此限制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C33B81"/>
    <w:rsid w:val="21C33B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2020-05-06T06:48:00Z</dcterms:created>
  <dc:creator>ASUS</dc:creator>
  <cp:lastModifiedBy>ASUS</cp:lastModifiedBy>
  <dcterms:modified xsi:type="dcterms:W3CDTF">2020-05-06T06:49:11Z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