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/>
        <w:ind w:left="-226" w:right="-226" w:firstLine="576"/>
        <w:jc w:val="both"/>
      </w:pPr>
      <w:r>
        <w:rPr>
          <w:rFonts w:ascii="仿宋" w:hAnsi="仿宋" w:eastAsia="仿宋" w:cs="仿宋"/>
          <w:color w:val="000000"/>
          <w:sz w:val="31"/>
          <w:szCs w:val="31"/>
          <w:shd w:val="clear" w:fill="FFFFFF"/>
        </w:rPr>
        <w:t>中山</w:t>
      </w:r>
      <w:bookmarkStart w:id="0" w:name="_GoBack"/>
      <w:bookmarkEnd w:id="0"/>
      <w:r>
        <w:rPr>
          <w:rFonts w:ascii="仿宋" w:hAnsi="仿宋" w:eastAsia="仿宋" w:cs="仿宋"/>
          <w:color w:val="000000"/>
          <w:sz w:val="31"/>
          <w:szCs w:val="31"/>
          <w:shd w:val="clear" w:fill="FFFFFF"/>
        </w:rPr>
        <w:t>医院全年计划招收三批博士后。第一批招收导师及研究方向请见下表：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/>
        <w:ind w:left="-226" w:right="-226" w:firstLine="576"/>
        <w:jc w:val="both"/>
      </w:pPr>
    </w:p>
    <w:tbl>
      <w:tblPr>
        <w:tblW w:w="5000" w:type="pct"/>
        <w:tblCellSpacing w:w="0" w:type="dxa"/>
        <w:tblInd w:w="-2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262"/>
        <w:gridCol w:w="67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0"/>
                <w:szCs w:val="30"/>
                <w:bdr w:val="none" w:color="auto" w:sz="0" w:space="0"/>
              </w:rPr>
              <w:t>合作导师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0"/>
                <w:szCs w:val="30"/>
                <w:bdr w:val="none" w:color="auto" w:sz="0" w:space="0"/>
              </w:rPr>
              <w:t>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蔡建春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1.胃癌发生、发展机制，包括不同生长方式胃癌发生、发展，转移和耐药机制。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2.胃癌肿瘤标志物筛选。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3.家族性遗传性胃癌易感基因筛。。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4.胃、肠癌腹腔镜辅助自然腔道取标本（LA-NOSE）手术和“膜解剖”手术方案设计。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牛建军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1.乙型肝炎病毒(HBV)感染与肝细胞癌(HCC)发生的相关性。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2.肝癌转移、复发的机制及肝癌异质性。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3.肿瘤干细胞及其在肝癌中作用的研究。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4.</w:t>
            </w: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  <w:lang w:eastAsia="zh-CN"/>
              </w:rPr>
              <w:t>用于肝癌药物开发及相关组学建模的人源性异种移植 </w:t>
            </w: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(PDX)</w:t>
            </w: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  <w:lang w:eastAsia="zh-CN"/>
              </w:rPr>
              <w:t>模型或人源性类器官 </w:t>
            </w: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(PDO)模型的开发（*具有相关经验者优先考虑录用）。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任建林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after="0" w:afterAutospacing="0"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  <w:shd w:val="clear" w:fill="FFFFFF"/>
              </w:rPr>
              <w:t>1.肠道微生态与重大慢病防治。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2.人工智能内镜的研发和应用。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尹震宇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肝胆胰肿瘤（主要是原发性肝癌）的基础与临床研究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田新华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纳米介导的化疗-免疫联合靶向治疗脑胶质瘤（及SAH)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吴国洋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甲状腺肿瘤发病机制、诊断和治疗的研究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7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蔡成福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老年性耳聋发病机制、诊断及治疗方法研究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8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苏新辉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分子探针研发及应用研究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9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杨天赐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梅毒的实验诊断与发病机制研究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10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夏  春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骨性关节炎发病机制研究及其防治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tblCellSpacing w:w="0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11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31"/>
                <w:szCs w:val="31"/>
                <w:bdr w:val="none" w:color="auto" w:sz="0" w:space="0"/>
              </w:rPr>
              <w:t>鹿全意</w:t>
            </w:r>
          </w:p>
        </w:tc>
        <w:tc>
          <w:tcPr>
            <w:tcW w:w="8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31"/>
                <w:szCs w:val="31"/>
                <w:bdr w:val="none" w:color="auto" w:sz="0" w:space="0"/>
              </w:rPr>
              <w:t>造血干细胞移植后GVHD的发生机制和预测标志物研究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8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30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20202"/>
      <w:sz w:val="42"/>
      <w:szCs w:val="42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020202"/>
      <w:u w:val="none"/>
    </w:rPr>
  </w:style>
  <w:style w:type="character" w:styleId="9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Keyboard"/>
    <w:basedOn w:val="4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1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2">
    <w:name w:val="share"/>
    <w:basedOn w:val="4"/>
    <w:uiPriority w:val="0"/>
    <w:rPr>
      <w:b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2020-04-29T03:01:42Z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