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15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275"/>
        <w:gridCol w:w="855"/>
        <w:gridCol w:w="2145"/>
        <w:gridCol w:w="1725"/>
        <w:gridCol w:w="4455"/>
        <w:gridCol w:w="1140"/>
      </w:tblGrid>
      <w:tr>
        <w:tblPrEx>
          <w:shd w:val="clear" w:color="auto" w:fill="FFFFFF"/>
        </w:tblPrEx>
        <w:tc>
          <w:tcPr>
            <w:tcW w:w="121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成都市青白江区人民医院医疗集团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36"/>
                <w:szCs w:val="36"/>
                <w:u w:val="single"/>
                <w:bdr w:val="none" w:color="auto" w:sz="0" w:space="0"/>
                <w:lang w:val="en-US" w:eastAsia="zh-CN" w:bidi="ar"/>
              </w:rPr>
              <w:t>城厢第一医院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2020年第2季度岗位需求表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8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3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5E5F6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五官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临床医学、全科医学</w:t>
            </w:r>
          </w:p>
        </w:tc>
        <w:tc>
          <w:tcPr>
            <w:tcW w:w="4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1、执业医师；2、45岁及以下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全科或内科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临床医学、全科医学</w:t>
            </w:r>
          </w:p>
        </w:tc>
        <w:tc>
          <w:tcPr>
            <w:tcW w:w="4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1、执业医师；2、45岁及以下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放射医师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4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1、执业医师；2、45岁及以下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中医师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中医相关专业</w:t>
            </w:r>
          </w:p>
        </w:tc>
        <w:tc>
          <w:tcPr>
            <w:tcW w:w="4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1、中医执业医师；2、45岁及以下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驾驶员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1、c1驾驶证；2、45岁及以下；3、满五年级以上驾龄；4、有救护车及相关车辆驾驶经验优先；5、有电工证优先。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5E5F6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91241"/>
    <w:rsid w:val="13891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2020-04-24T10:30:00Z</dcterms:created>
  <dc:creator>秋叶夏花</dc:creator>
  <cp:lastModifiedBy>秋叶夏花</cp:lastModifiedBy>
  <dcterms:modified xsi:type="dcterms:W3CDTF">2020-04-24T10:30:37Z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