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8FBF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707"/>
        <w:gridCol w:w="1604"/>
        <w:gridCol w:w="1344"/>
        <w:gridCol w:w="1345"/>
        <w:gridCol w:w="23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人数</w:t>
            </w:r>
          </w:p>
        </w:tc>
        <w:tc>
          <w:tcPr>
            <w:tcW w:w="1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13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3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年龄</w:t>
            </w:r>
          </w:p>
        </w:tc>
        <w:tc>
          <w:tcPr>
            <w:tcW w:w="23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护理部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40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护理学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25周岁以下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历届生必须有护士资格证；硕士年龄放宽至30周岁以下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营养科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临床医学、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营养学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35周岁以下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本科学历的必须有营养师资格证及二级以上医院工作经历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康复医学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中心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康复治疗学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30周岁以下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本科学历的必须有康复治疗师资格证及二级以上医院工作经历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机关职能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科室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卫生管理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30周岁以下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本科学历的必须有二级以上医院工作经历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医疗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设备部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2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临床医学工程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30周岁以下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本科学历的必须有二级以上医院工作经历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信息中心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4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计算机、信息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技术相关专业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30周岁以下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本科学历的必须有二级以上医院工作经历或医疗软件公司工作经历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8FBF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人力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资源部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人力资源管理</w:t>
            </w:r>
          </w:p>
        </w:tc>
        <w:tc>
          <w:tcPr>
            <w:tcW w:w="13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本科及以上</w:t>
            </w:r>
          </w:p>
        </w:tc>
        <w:tc>
          <w:tcPr>
            <w:tcW w:w="13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30周岁以下</w:t>
            </w:r>
          </w:p>
        </w:tc>
        <w:tc>
          <w:tcPr>
            <w:tcW w:w="23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8FBFD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caps w:val="0"/>
                <w:color w:val="2C2B2B"/>
                <w:spacing w:val="0"/>
                <w:sz w:val="21"/>
                <w:szCs w:val="21"/>
              </w:rPr>
              <w:t>本科学历的必须有二级以上医院工作经历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8FBFD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caps w:val="0"/>
          <w:color w:val="2C2B2B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2C2B2B"/>
          <w:spacing w:val="0"/>
          <w:sz w:val="21"/>
          <w:szCs w:val="21"/>
          <w:shd w:val="clear" w:fill="F8FBFD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673332"/>
    <w:rsid w:val="5967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2020-04-20T10:00:00Z</dcterms:created>
  <dc:creator>ぺ灬cc果冻ル</dc:creator>
  <cp:lastModifiedBy>ぺ灬cc果冻ル</cp:lastModifiedBy>
  <dcterms:modified xsi:type="dcterms:W3CDTF">2020-04-20T10:01:04Z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