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2A7B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002A7B"/>
          <w:spacing w:val="0"/>
          <w:sz w:val="30"/>
          <w:szCs w:val="30"/>
          <w:shd w:val="clear" w:fill="FFFFFF"/>
        </w:rPr>
        <w:t>天津医科大学朱宪彝纪念医院2020年第一批公开招聘博士等人员计划</w:t>
      </w:r>
    </w:p>
    <w:tbl>
      <w:tblPr>
        <w:tblW w:w="8496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5"/>
        <w:gridCol w:w="1000"/>
        <w:gridCol w:w="676"/>
        <w:gridCol w:w="480"/>
        <w:gridCol w:w="886"/>
        <w:gridCol w:w="480"/>
        <w:gridCol w:w="660"/>
        <w:gridCol w:w="630"/>
        <w:gridCol w:w="1451"/>
        <w:gridCol w:w="108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763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岗位编号</w:t>
            </w:r>
          </w:p>
        </w:tc>
        <w:tc>
          <w:tcPr>
            <w:tcW w:w="728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792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36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计划人数</w:t>
            </w:r>
          </w:p>
        </w:tc>
        <w:tc>
          <w:tcPr>
            <w:tcW w:w="1019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学科专业</w:t>
            </w:r>
          </w:p>
        </w:tc>
        <w:tc>
          <w:tcPr>
            <w:tcW w:w="382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400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718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811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其他要求</w:t>
            </w:r>
          </w:p>
        </w:tc>
        <w:tc>
          <w:tcPr>
            <w:tcW w:w="1447" w:type="dxa"/>
            <w:tcBorders>
              <w:top w:val="single" w:color="DDDDDD" w:sz="6" w:space="0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报名联系方式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20206101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神经病学或临床医学专业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研究生、博士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副主任医师及以上人员学历学位可放宽到本科、学士。医疗岗位。</w:t>
            </w:r>
          </w:p>
        </w:tc>
        <w:tc>
          <w:tcPr>
            <w:tcW w:w="1447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  <w:bdr w:val="none" w:color="auto" w:sz="0" w:space="0"/>
              </w:rPr>
              <w:t>022-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  <w:bdr w:val="none" w:color="auto" w:sz="0" w:space="0"/>
              </w:rPr>
              <w:t>59562141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bookmarkStart w:id="0" w:name="_GoBack" w:colFirst="1" w:colLast="1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20206102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痛风科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内科学专业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研究生、博士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≤35周岁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2020届毕业生，在学期间以第一作者发表SCI文章3篇及以上，其中至少1篇IF&gt;5。医疗岗位。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20206103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内分泌科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内科学专业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研究生、博士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≤35周岁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2020届毕业生。医疗岗位。 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感染疾病科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20206105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泌尿外科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妇产科学或临床医学专业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副主任医师及以上，须取得《母婴保健技术考核合格证书》（助产技术）。医疗岗位。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口腔医学相关专业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耳鼻咽喉科学或临床医学专业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20206109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普外科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20206110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20206111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急诊、重症医学科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20206112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血管外科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20206113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副主任医师及以上。医疗岗位。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20206114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编辑部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本科、学士及以上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副编审及以上。医学期刊编辑岗位。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20206115</w:t>
            </w:r>
          </w:p>
        </w:tc>
        <w:tc>
          <w:tcPr>
            <w:tcW w:w="728" w:type="dxa"/>
            <w:vMerge w:val="restart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内分泌研究所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436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临床医学、药学、公共卫生与预防医学或生物学相关专业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研究生、博士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≤45周岁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有主持国家级科研项目经历，以第一或通讯作者发表SCI论文，且单篇IF&gt;10。科研岗位。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1" w:hRule="atLeast"/>
        </w:trPr>
        <w:tc>
          <w:tcPr>
            <w:tcW w:w="0" w:type="auto"/>
            <w:tcBorders>
              <w:top w:val="nil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20206116</w:t>
            </w:r>
          </w:p>
        </w:tc>
        <w:tc>
          <w:tcPr>
            <w:tcW w:w="728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内科学、免疫学、病理学与病理生理学、医学细胞生物学、医学生物化学与分子生物学、医学生理学、细胞生物学或生物化学与分子生物学专业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研究生、博士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≤35周岁</w:t>
            </w:r>
          </w:p>
        </w:tc>
        <w:tc>
          <w:tcPr>
            <w:tcW w:w="1811" w:type="dxa"/>
            <w:tcBorders>
              <w:top w:val="nil"/>
              <w:left w:val="nil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以第一作者发表SCI论文，且单篇IF&gt;5。科研岗位。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DDDDDD" w:sz="6" w:space="0"/>
              <w:bottom w:val="single" w:color="000000" w:sz="6" w:space="0"/>
              <w:right w:val="single" w:color="DDDDDD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262626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21"/>
          <w:szCs w:val="21"/>
          <w:shd w:val="clear" w:fill="FFFFFF"/>
        </w:rPr>
        <w:t>相关要求：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21"/>
          <w:szCs w:val="21"/>
          <w:shd w:val="clear" w:fill="FFFFFF"/>
        </w:rPr>
        <w:t>1、报名年龄计算的截止日期为报名工作第一日。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262626"/>
          <w:spacing w:val="0"/>
          <w:sz w:val="21"/>
          <w:szCs w:val="21"/>
          <w:shd w:val="clear" w:fill="FFFFFF"/>
        </w:rPr>
        <w:t>2、具有正高级专业技术职务的应聘人员年龄可放宽5周岁。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B2BC8"/>
    <w:rsid w:val="543B2B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2020-04-20T02:54:00Z</dcterms:created>
  <dc:creator>不栉进士-小娜娜</dc:creator>
  <cp:lastModifiedBy>不栉进士-小娜娜</cp:lastModifiedBy>
  <dcterms:modified xsi:type="dcterms:W3CDTF">2020-04-20T02:55:18Z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